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40B61">
      <w:pPr>
        <w:pStyle w:val="3"/>
        <w:spacing w:line="318" w:lineRule="auto"/>
      </w:pPr>
    </w:p>
    <w:p w14:paraId="1AC4A55F">
      <w:pPr>
        <w:pStyle w:val="3"/>
        <w:spacing w:line="256" w:lineRule="auto"/>
      </w:pPr>
      <w:bookmarkStart w:id="0" w:name="bookmark10"/>
      <w:bookmarkEnd w:id="0"/>
    </w:p>
    <w:p w14:paraId="1459857A">
      <w:pPr>
        <w:pStyle w:val="3"/>
        <w:spacing w:line="256" w:lineRule="auto"/>
      </w:pPr>
    </w:p>
    <w:p w14:paraId="04353651">
      <w:pPr>
        <w:pStyle w:val="3"/>
        <w:spacing w:line="256" w:lineRule="auto"/>
      </w:pPr>
    </w:p>
    <w:p w14:paraId="19534055">
      <w:pPr>
        <w:pStyle w:val="3"/>
        <w:spacing w:line="256" w:lineRule="auto"/>
      </w:pPr>
    </w:p>
    <w:p w14:paraId="1214C1EF">
      <w:pPr>
        <w:pStyle w:val="3"/>
        <w:spacing w:line="256" w:lineRule="auto"/>
      </w:pPr>
    </w:p>
    <w:p w14:paraId="7B7AF8B2">
      <w:pPr>
        <w:pStyle w:val="3"/>
        <w:spacing w:line="256" w:lineRule="auto"/>
      </w:pPr>
    </w:p>
    <w:p w14:paraId="0BF498ED">
      <w:pPr>
        <w:pStyle w:val="3"/>
        <w:spacing w:line="256" w:lineRule="auto"/>
      </w:pPr>
    </w:p>
    <w:p w14:paraId="46CEBA7B">
      <w:pPr>
        <w:pStyle w:val="3"/>
        <w:spacing w:line="256" w:lineRule="auto"/>
      </w:pPr>
    </w:p>
    <w:p w14:paraId="20FC9F22">
      <w:pPr>
        <w:pStyle w:val="3"/>
        <w:spacing w:line="256" w:lineRule="auto"/>
      </w:pPr>
    </w:p>
    <w:p w14:paraId="239DD468">
      <w:pPr>
        <w:pStyle w:val="3"/>
        <w:spacing w:line="256" w:lineRule="auto"/>
      </w:pPr>
    </w:p>
    <w:p w14:paraId="12AB3B25">
      <w:pPr>
        <w:pStyle w:val="3"/>
        <w:spacing w:line="256" w:lineRule="auto"/>
      </w:pPr>
    </w:p>
    <w:p w14:paraId="07CD8D4C">
      <w:pPr>
        <w:pStyle w:val="3"/>
        <w:spacing w:line="257" w:lineRule="auto"/>
      </w:pPr>
    </w:p>
    <w:p w14:paraId="55A9B857">
      <w:pPr>
        <w:pStyle w:val="3"/>
        <w:spacing w:line="257" w:lineRule="auto"/>
      </w:pPr>
    </w:p>
    <w:p w14:paraId="37602F61">
      <w:pPr>
        <w:spacing w:before="139" w:line="259" w:lineRule="auto"/>
        <w:ind w:left="859"/>
        <w:jc w:val="center"/>
        <w:rPr>
          <w:rFonts w:hint="eastAsia" w:ascii="宋体" w:hAnsi="宋体" w:eastAsia="宋体" w:cs="宋体"/>
          <w:b/>
          <w:bCs/>
          <w:spacing w:val="44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3"/>
          <w:szCs w:val="43"/>
          <w:lang w:val="en-US" w:eastAsia="zh-CN"/>
        </w:rPr>
        <w:t>2026</w:t>
      </w:r>
      <w:r>
        <w:rPr>
          <w:rFonts w:ascii="宋体" w:hAnsi="宋体" w:eastAsia="宋体" w:cs="宋体"/>
          <w:b/>
          <w:bCs/>
          <w:spacing w:val="44"/>
          <w:sz w:val="43"/>
          <w:szCs w:val="43"/>
        </w:rPr>
        <w:t>年度</w:t>
      </w:r>
      <w:r>
        <w:rPr>
          <w:rFonts w:hint="eastAsia" w:ascii="宋体" w:hAnsi="宋体" w:eastAsia="宋体" w:cs="宋体"/>
          <w:b/>
          <w:bCs/>
          <w:spacing w:val="44"/>
          <w:sz w:val="43"/>
          <w:szCs w:val="43"/>
          <w:lang w:val="en-US" w:eastAsia="zh-CN"/>
        </w:rPr>
        <w:t>内蒙古河套灌区水利发展</w:t>
      </w:r>
    </w:p>
    <w:p w14:paraId="1725D4D0">
      <w:pPr>
        <w:spacing w:before="139" w:line="259" w:lineRule="auto"/>
        <w:ind w:left="859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4"/>
          <w:sz w:val="43"/>
          <w:szCs w:val="43"/>
          <w:lang w:val="en-US" w:eastAsia="zh-CN"/>
        </w:rPr>
        <w:t>中心乌兰布和分中心本级</w:t>
      </w:r>
      <w:r>
        <w:rPr>
          <w:rFonts w:hint="eastAsia" w:ascii="宋体" w:hAnsi="宋体" w:eastAsia="宋体" w:cs="宋体"/>
          <w:b/>
          <w:bCs/>
          <w:spacing w:val="44"/>
          <w:sz w:val="43"/>
          <w:szCs w:val="43"/>
        </w:rPr>
        <w:t>预算公开</w:t>
      </w:r>
    </w:p>
    <w:p w14:paraId="39B0FA41">
      <w:pPr>
        <w:pStyle w:val="3"/>
        <w:spacing w:line="244" w:lineRule="auto"/>
      </w:pPr>
    </w:p>
    <w:p w14:paraId="2608A11A">
      <w:pPr>
        <w:pStyle w:val="3"/>
        <w:spacing w:line="244" w:lineRule="auto"/>
      </w:pPr>
    </w:p>
    <w:p w14:paraId="5CA5A4A3">
      <w:pPr>
        <w:pStyle w:val="3"/>
        <w:spacing w:line="244" w:lineRule="auto"/>
      </w:pPr>
    </w:p>
    <w:p w14:paraId="661190C6">
      <w:pPr>
        <w:pStyle w:val="3"/>
        <w:spacing w:line="244" w:lineRule="auto"/>
      </w:pPr>
    </w:p>
    <w:p w14:paraId="26DA6809">
      <w:pPr>
        <w:pStyle w:val="3"/>
        <w:spacing w:line="244" w:lineRule="auto"/>
      </w:pPr>
    </w:p>
    <w:p w14:paraId="7953F964">
      <w:pPr>
        <w:pStyle w:val="3"/>
        <w:spacing w:line="244" w:lineRule="auto"/>
      </w:pPr>
    </w:p>
    <w:p w14:paraId="2FB25F93">
      <w:pPr>
        <w:pStyle w:val="3"/>
        <w:spacing w:line="244" w:lineRule="auto"/>
      </w:pPr>
    </w:p>
    <w:p w14:paraId="4F29B17F">
      <w:pPr>
        <w:pStyle w:val="3"/>
        <w:spacing w:line="245" w:lineRule="auto"/>
      </w:pPr>
    </w:p>
    <w:p w14:paraId="4E559383">
      <w:pPr>
        <w:pStyle w:val="3"/>
        <w:spacing w:line="245" w:lineRule="auto"/>
      </w:pPr>
    </w:p>
    <w:p w14:paraId="70129E34">
      <w:pPr>
        <w:pStyle w:val="3"/>
        <w:spacing w:line="245" w:lineRule="auto"/>
      </w:pPr>
    </w:p>
    <w:p w14:paraId="3E2195C5">
      <w:pPr>
        <w:pStyle w:val="3"/>
        <w:spacing w:line="245" w:lineRule="auto"/>
      </w:pPr>
    </w:p>
    <w:p w14:paraId="74BC6172">
      <w:pPr>
        <w:pStyle w:val="3"/>
        <w:spacing w:line="245" w:lineRule="auto"/>
      </w:pPr>
    </w:p>
    <w:p w14:paraId="74558A68">
      <w:pPr>
        <w:pStyle w:val="3"/>
        <w:spacing w:line="245" w:lineRule="auto"/>
      </w:pPr>
    </w:p>
    <w:p w14:paraId="40F48C19">
      <w:pPr>
        <w:pStyle w:val="3"/>
        <w:spacing w:line="245" w:lineRule="auto"/>
      </w:pPr>
    </w:p>
    <w:p w14:paraId="2439D187">
      <w:pPr>
        <w:pStyle w:val="3"/>
        <w:spacing w:line="245" w:lineRule="auto"/>
      </w:pPr>
    </w:p>
    <w:p w14:paraId="44559D0D">
      <w:pPr>
        <w:pStyle w:val="3"/>
        <w:spacing w:line="245" w:lineRule="auto"/>
      </w:pPr>
    </w:p>
    <w:p w14:paraId="7FDC71AC">
      <w:pPr>
        <w:pStyle w:val="3"/>
        <w:spacing w:line="245" w:lineRule="auto"/>
      </w:pPr>
    </w:p>
    <w:p w14:paraId="1371FD1B">
      <w:pPr>
        <w:pStyle w:val="3"/>
        <w:spacing w:line="245" w:lineRule="auto"/>
      </w:pPr>
    </w:p>
    <w:p w14:paraId="3E4C7A94">
      <w:pPr>
        <w:pStyle w:val="3"/>
        <w:spacing w:line="245" w:lineRule="auto"/>
      </w:pPr>
    </w:p>
    <w:p w14:paraId="7B70311C">
      <w:pPr>
        <w:pStyle w:val="3"/>
        <w:spacing w:line="245" w:lineRule="auto"/>
      </w:pPr>
    </w:p>
    <w:p w14:paraId="2FE06928">
      <w:pPr>
        <w:pStyle w:val="3"/>
        <w:spacing w:line="245" w:lineRule="auto"/>
      </w:pPr>
    </w:p>
    <w:p w14:paraId="2E2272E7">
      <w:pPr>
        <w:pStyle w:val="3"/>
        <w:spacing w:line="245" w:lineRule="auto"/>
      </w:pPr>
    </w:p>
    <w:p w14:paraId="7149E826">
      <w:pPr>
        <w:spacing w:before="101" w:line="227" w:lineRule="auto"/>
        <w:ind w:left="166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批复时间：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 xml:space="preserve"> </w:t>
      </w:r>
      <w:r>
        <w:rPr>
          <w:rFonts w:hint="eastAsia" w:ascii="黑体" w:hAnsi="黑体" w:eastAsia="黑体" w:cs="黑体"/>
          <w:spacing w:val="8"/>
          <w:sz w:val="31"/>
          <w:szCs w:val="31"/>
          <w:u w:val="single" w:color="auto"/>
          <w:lang w:val="en-US" w:eastAsia="zh-CN"/>
        </w:rPr>
        <w:t xml:space="preserve">2026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年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 xml:space="preserve">   </w:t>
      </w:r>
      <w:r>
        <w:rPr>
          <w:rFonts w:hint="eastAsia" w:ascii="黑体" w:hAnsi="黑体" w:eastAsia="黑体" w:cs="黑体"/>
          <w:spacing w:val="8"/>
          <w:sz w:val="31"/>
          <w:szCs w:val="31"/>
          <w:u w:val="single" w:color="auto"/>
          <w:lang w:val="en-US" w:eastAsia="zh-CN"/>
        </w:rPr>
        <w:t>1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 xml:space="preserve">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月</w:t>
      </w:r>
      <w:r>
        <w:rPr>
          <w:rFonts w:ascii="黑体" w:hAnsi="黑体" w:eastAsia="黑体" w:cs="黑体"/>
          <w:spacing w:val="18"/>
          <w:sz w:val="31"/>
          <w:szCs w:val="31"/>
          <w:u w:val="single" w:color="auto"/>
        </w:rPr>
        <w:t xml:space="preserve">  </w:t>
      </w:r>
      <w:r>
        <w:rPr>
          <w:rFonts w:hint="eastAsia" w:ascii="黑体" w:hAnsi="黑体" w:eastAsia="黑体" w:cs="黑体"/>
          <w:spacing w:val="18"/>
          <w:sz w:val="31"/>
          <w:szCs w:val="31"/>
          <w:u w:val="single" w:color="auto"/>
          <w:lang w:val="en-US" w:eastAsia="zh-CN"/>
        </w:rPr>
        <w:t>27</w:t>
      </w:r>
      <w:r>
        <w:rPr>
          <w:rFonts w:ascii="黑体" w:hAnsi="黑体" w:eastAsia="黑体" w:cs="黑体"/>
          <w:spacing w:val="18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日</w:t>
      </w:r>
    </w:p>
    <w:p w14:paraId="1B2BEEF1">
      <w:pPr>
        <w:spacing w:before="220" w:line="228" w:lineRule="auto"/>
        <w:ind w:left="16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公开时间：</w:t>
      </w:r>
      <w:r>
        <w:rPr>
          <w:rFonts w:ascii="黑体" w:hAnsi="黑体" w:eastAsia="黑体" w:cs="黑体"/>
          <w:spacing w:val="7"/>
          <w:sz w:val="31"/>
          <w:szCs w:val="31"/>
          <w:u w:val="single" w:color="auto"/>
        </w:rPr>
        <w:t xml:space="preserve"> </w:t>
      </w:r>
      <w:r>
        <w:rPr>
          <w:rFonts w:hint="eastAsia" w:ascii="黑体" w:hAnsi="黑体" w:eastAsia="黑体" w:cs="黑体"/>
          <w:spacing w:val="7"/>
          <w:sz w:val="31"/>
          <w:szCs w:val="31"/>
          <w:u w:val="single" w:color="auto"/>
          <w:lang w:val="en-US" w:eastAsia="zh-CN"/>
        </w:rPr>
        <w:t xml:space="preserve">2026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年</w:t>
      </w:r>
      <w:r>
        <w:rPr>
          <w:rFonts w:ascii="黑体" w:hAnsi="黑体" w:eastAsia="黑体" w:cs="黑体"/>
          <w:spacing w:val="9"/>
          <w:sz w:val="31"/>
          <w:szCs w:val="31"/>
          <w:u w:val="single" w:color="auto"/>
        </w:rPr>
        <w:t xml:space="preserve">   </w:t>
      </w:r>
      <w:r>
        <w:rPr>
          <w:rFonts w:hint="eastAsia" w:ascii="黑体" w:hAnsi="黑体" w:eastAsia="黑体" w:cs="黑体"/>
          <w:spacing w:val="9"/>
          <w:sz w:val="31"/>
          <w:szCs w:val="31"/>
          <w:u w:val="single" w:color="auto"/>
          <w:lang w:val="en-US" w:eastAsia="zh-CN"/>
        </w:rPr>
        <w:t>2</w:t>
      </w:r>
      <w:r>
        <w:rPr>
          <w:rFonts w:ascii="黑体" w:hAnsi="黑体" w:eastAsia="黑体" w:cs="黑体"/>
          <w:spacing w:val="9"/>
          <w:sz w:val="31"/>
          <w:szCs w:val="31"/>
          <w:u w:val="single" w:color="auto"/>
        </w:rPr>
        <w:t xml:space="preserve">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月</w:t>
      </w:r>
      <w:r>
        <w:rPr>
          <w:rFonts w:ascii="黑体" w:hAnsi="黑体" w:eastAsia="黑体" w:cs="黑体"/>
          <w:spacing w:val="18"/>
          <w:sz w:val="31"/>
          <w:szCs w:val="31"/>
          <w:u w:val="single" w:color="auto"/>
        </w:rPr>
        <w:t xml:space="preserve">  </w:t>
      </w:r>
      <w:r>
        <w:rPr>
          <w:rFonts w:hint="eastAsia" w:ascii="黑体" w:hAnsi="黑体" w:eastAsia="黑体" w:cs="黑体"/>
          <w:spacing w:val="18"/>
          <w:sz w:val="31"/>
          <w:szCs w:val="31"/>
          <w:u w:val="single" w:color="auto"/>
          <w:lang w:val="en-US" w:eastAsia="zh-CN"/>
        </w:rPr>
        <w:t xml:space="preserve">4 </w:t>
      </w:r>
      <w:r>
        <w:rPr>
          <w:rFonts w:ascii="黑体" w:hAnsi="黑体" w:eastAsia="黑体" w:cs="黑体"/>
          <w:spacing w:val="18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>日</w:t>
      </w:r>
      <w:bookmarkStart w:id="6" w:name="_GoBack"/>
      <w:bookmarkEnd w:id="6"/>
    </w:p>
    <w:p w14:paraId="16430F21">
      <w:pPr>
        <w:spacing w:line="358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0" w:h="16840"/>
          <w:pgMar w:top="1431" w:right="1772" w:bottom="1174" w:left="1643" w:header="0" w:footer="801" w:gutter="0"/>
          <w:pgNumType w:fmt="decimal" w:start="1"/>
          <w:cols w:space="720" w:num="1"/>
        </w:sectPr>
      </w:pPr>
    </w:p>
    <w:p w14:paraId="29A07DA7">
      <w:pPr>
        <w:spacing w:before="254" w:line="225" w:lineRule="auto"/>
        <w:ind w:left="350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46"/>
          <w:sz w:val="43"/>
          <w:szCs w:val="43"/>
        </w:rPr>
        <w:t>目</w:t>
      </w:r>
      <w:r>
        <w:rPr>
          <w:rFonts w:ascii="宋体" w:hAnsi="宋体" w:eastAsia="宋体" w:cs="宋体"/>
          <w:spacing w:val="9"/>
          <w:sz w:val="43"/>
          <w:szCs w:val="43"/>
        </w:rPr>
        <w:t xml:space="preserve">    </w:t>
      </w:r>
      <w:r>
        <w:rPr>
          <w:rFonts w:ascii="宋体" w:hAnsi="宋体" w:eastAsia="宋体" w:cs="宋体"/>
          <w:spacing w:val="-46"/>
          <w:sz w:val="43"/>
          <w:szCs w:val="43"/>
        </w:rPr>
        <w:t>录</w:t>
      </w:r>
    </w:p>
    <w:p w14:paraId="746EAE21">
      <w:pPr>
        <w:pStyle w:val="3"/>
        <w:spacing w:line="318" w:lineRule="auto"/>
      </w:pPr>
    </w:p>
    <w:p w14:paraId="27B36D87">
      <w:pPr>
        <w:spacing w:before="101" w:line="226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第一部分 部门（单位）概况</w:t>
      </w:r>
    </w:p>
    <w:sdt>
      <w:sdtPr>
        <w:rPr>
          <w:rFonts w:ascii="仿宋" w:hAnsi="仿宋" w:eastAsia="仿宋" w:cs="仿宋"/>
          <w:sz w:val="31"/>
          <w:szCs w:val="31"/>
        </w:rPr>
        <w:id w:val="147474563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2446EED2">
          <w:pPr>
            <w:spacing w:before="220" w:line="222" w:lineRule="auto"/>
            <w:ind w:left="18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0"/>
              <w:sz w:val="31"/>
              <w:szCs w:val="31"/>
            </w:rPr>
            <w:t>一、主要职能、职责</w:t>
          </w:r>
          <w:r>
            <w:rPr>
              <w:rFonts w:ascii="仿宋" w:hAnsi="仿宋" w:eastAsia="仿宋" w:cs="仿宋"/>
              <w:spacing w:val="-10"/>
              <w:sz w:val="31"/>
              <w:szCs w:val="31"/>
            </w:rPr>
            <w:fldChar w:fldCharType="end"/>
          </w:r>
        </w:p>
        <w:p w14:paraId="09199AA5">
          <w:pPr>
            <w:spacing w:before="227" w:line="221" w:lineRule="auto"/>
            <w:ind w:left="17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二、单位机构设置及预算单位构成情况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3FF780CA">
          <w:pPr>
            <w:spacing w:before="230" w:line="220" w:lineRule="auto"/>
            <w:ind w:left="2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三、</w:t>
          </w:r>
          <w:r>
            <w:rPr>
              <w:rFonts w:hint="eastAsia" w:ascii="仿宋" w:hAnsi="仿宋" w:eastAsia="仿宋" w:cs="仿宋"/>
              <w:sz w:val="31"/>
              <w:szCs w:val="31"/>
              <w:lang w:val="en-US" w:eastAsia="zh-CN"/>
            </w:rPr>
            <w:t>2026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年度</w:t>
          </w:r>
          <w:r>
            <w:rPr>
              <w:rFonts w:hint="eastAsia" w:ascii="仿宋" w:hAnsi="仿宋" w:eastAsia="仿宋" w:cs="仿宋"/>
              <w:spacing w:val="7"/>
              <w:sz w:val="31"/>
              <w:szCs w:val="31"/>
              <w:lang w:val="en-US" w:eastAsia="zh-CN"/>
            </w:rPr>
            <w:t>内蒙古河套灌区水利发展中心乌兰布和分中心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主要工作任务及目标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5168BCA7">
          <w:pPr>
            <w:spacing w:before="229" w:line="226" w:lineRule="auto"/>
            <w:rPr>
              <w:rFonts w:ascii="黑体" w:hAnsi="黑体" w:eastAsia="黑体" w:cs="黑体"/>
              <w:sz w:val="31"/>
              <w:szCs w:val="31"/>
            </w:rPr>
          </w:pP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黑体" w:hAnsi="黑体" w:eastAsia="黑体" w:cs="黑体"/>
              <w:spacing w:val="8"/>
              <w:sz w:val="31"/>
              <w:szCs w:val="31"/>
            </w:rPr>
            <w:t xml:space="preserve">第二部分 </w:t>
          </w:r>
          <w:r>
            <w:rPr>
              <w:rFonts w:hint="eastAsia" w:ascii="黑体" w:hAnsi="黑体" w:eastAsia="黑体" w:cs="黑体"/>
              <w:sz w:val="31"/>
              <w:szCs w:val="31"/>
              <w:lang w:val="en-US" w:eastAsia="zh-CN"/>
            </w:rPr>
            <w:t>2026</w:t>
          </w:r>
          <w:r>
            <w:rPr>
              <w:rFonts w:ascii="黑体" w:hAnsi="黑体" w:eastAsia="黑体" w:cs="黑体"/>
              <w:spacing w:val="8"/>
              <w:sz w:val="31"/>
              <w:szCs w:val="31"/>
            </w:rPr>
            <w:t>年度单位预算情况说明</w:t>
          </w:r>
          <w:r>
            <w:rPr>
              <w:rFonts w:ascii="黑体" w:hAnsi="黑体" w:eastAsia="黑体" w:cs="黑体"/>
              <w:spacing w:val="8"/>
              <w:sz w:val="31"/>
              <w:szCs w:val="31"/>
            </w:rPr>
            <w:fldChar w:fldCharType="end"/>
          </w:r>
        </w:p>
        <w:p w14:paraId="79E76922">
          <w:pPr>
            <w:spacing w:before="221" w:line="222" w:lineRule="auto"/>
            <w:ind w:left="20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一、收支预算总体情况说明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4AB2CB4B">
          <w:pPr>
            <w:spacing w:before="227" w:line="222" w:lineRule="auto"/>
            <w:ind w:left="17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二、收入预算情况说明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 w14:paraId="74B411A4">
          <w:pPr>
            <w:spacing w:before="227" w:line="222" w:lineRule="auto"/>
            <w:ind w:left="2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三、支出预算情况说明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 w14:paraId="6C1E9AFF">
          <w:pPr>
            <w:spacing w:before="227" w:line="222" w:lineRule="auto"/>
            <w:ind w:left="37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四、财政拨款收支预算总体情况说明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 w14:paraId="4820E87A">
          <w:pPr>
            <w:spacing w:before="228" w:line="222" w:lineRule="auto"/>
            <w:ind w:left="11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五、一般公共预算支出预算情况说明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771B1654">
          <w:pPr>
            <w:spacing w:before="227" w:line="222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六、一般公共预算基本支出预算情况说明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104959D9">
          <w:pPr>
            <w:spacing w:before="227" w:line="222" w:lineRule="auto"/>
            <w:ind w:left="7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七、一般公共预算</w:t>
          </w:r>
          <w:r>
            <w:rPr>
              <w:rFonts w:ascii="仿宋" w:hAnsi="仿宋" w:eastAsia="仿宋" w:cs="仿宋"/>
              <w:spacing w:val="-102"/>
              <w:sz w:val="31"/>
              <w:szCs w:val="31"/>
            </w:rPr>
            <w:t xml:space="preserve"> 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“</w:t>
          </w:r>
          <w:r>
            <w:rPr>
              <w:rFonts w:ascii="仿宋" w:hAnsi="仿宋" w:eastAsia="仿宋" w:cs="仿宋"/>
              <w:spacing w:val="-119"/>
              <w:sz w:val="31"/>
              <w:szCs w:val="31"/>
            </w:rPr>
            <w:t xml:space="preserve"> 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三公”经费支出预算情况</w:t>
          </w:r>
          <w:r>
            <w:rPr>
              <w:rFonts w:ascii="仿宋" w:hAnsi="仿宋" w:eastAsia="仿宋" w:cs="仿宋"/>
              <w:spacing w:val="4"/>
              <w:sz w:val="31"/>
              <w:szCs w:val="31"/>
            </w:rPr>
            <w:t>说明</w:t>
          </w:r>
          <w:r>
            <w:rPr>
              <w:rFonts w:ascii="仿宋" w:hAnsi="仿宋" w:eastAsia="仿宋" w:cs="仿宋"/>
              <w:spacing w:val="4"/>
              <w:sz w:val="31"/>
              <w:szCs w:val="31"/>
            </w:rPr>
            <w:fldChar w:fldCharType="end"/>
          </w:r>
        </w:p>
        <w:p w14:paraId="34C202A3">
          <w:pPr>
            <w:spacing w:before="228" w:line="220" w:lineRule="auto"/>
            <w:ind w:left="6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八、政府性基金预算支出预算情况说明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4E768863">
          <w:pPr>
            <w:spacing w:before="230" w:line="222" w:lineRule="auto"/>
            <w:ind w:left="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9"/>
              <w:sz w:val="31"/>
              <w:szCs w:val="31"/>
            </w:rPr>
            <w:t>九、国有资本经营预算支出预算情况说明</w:t>
          </w:r>
          <w:r>
            <w:rPr>
              <w:rFonts w:ascii="仿宋" w:hAnsi="仿宋" w:eastAsia="仿宋" w:cs="仿宋"/>
              <w:spacing w:val="9"/>
              <w:sz w:val="31"/>
              <w:szCs w:val="31"/>
            </w:rPr>
            <w:fldChar w:fldCharType="end"/>
          </w:r>
        </w:p>
        <w:p w14:paraId="3514EDAD">
          <w:pPr>
            <w:spacing w:before="227" w:line="222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十、项目支出预算情况说明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2D15D2F0">
          <w:pPr>
            <w:spacing w:before="228" w:line="221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十一、机构运行经费支出预算情况说明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73D72643">
          <w:pPr>
            <w:spacing w:before="228" w:line="222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"bookmark40"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t>十二、政府采购支出预算情况说明</w:t>
          </w:r>
          <w:r>
            <w:rPr>
              <w:rFonts w:ascii="仿宋" w:hAnsi="仿宋" w:eastAsia="仿宋" w:cs="仿宋"/>
              <w:spacing w:val="8"/>
              <w:sz w:val="31"/>
              <w:szCs w:val="31"/>
            </w:rPr>
            <w:fldChar w:fldCharType="end"/>
          </w:r>
        </w:p>
        <w:p w14:paraId="4DE56117">
          <w:pPr>
            <w:spacing w:before="229" w:line="222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"bookmark41"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十三、国有资产占用情况说明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6368BF53">
          <w:pPr>
            <w:spacing w:before="227" w:line="222" w:lineRule="auto"/>
            <w:ind w:left="13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"bookmark42"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十四、项目绩效目标情况说明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</w:sdtContent>
    </w:sdt>
    <w:p w14:paraId="0AA16C2D">
      <w:pPr>
        <w:spacing w:before="225" w:line="227" w:lineRule="auto"/>
        <w:rPr>
          <w:rFonts w:ascii="黑体" w:hAnsi="黑体" w:eastAsia="黑体" w:cs="黑体"/>
          <w:spacing w:val="7"/>
          <w:sz w:val="31"/>
          <w:szCs w:val="31"/>
        </w:rPr>
      </w:pPr>
    </w:p>
    <w:p w14:paraId="3650C014">
      <w:pPr>
        <w:spacing w:before="225" w:line="227" w:lineRule="auto"/>
        <w:rPr>
          <w:rFonts w:ascii="黑体" w:hAnsi="黑体" w:eastAsia="黑体" w:cs="黑体"/>
          <w:spacing w:val="7"/>
          <w:sz w:val="31"/>
          <w:szCs w:val="31"/>
        </w:rPr>
      </w:pPr>
    </w:p>
    <w:p w14:paraId="71113BF3">
      <w:pPr>
        <w:spacing w:before="225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第三部分 名词解释</w:t>
      </w:r>
    </w:p>
    <w:p w14:paraId="2852A0FF">
      <w:pPr>
        <w:spacing w:before="219" w:line="305" w:lineRule="auto"/>
        <w:ind w:right="2244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第四部分 预算公开联系方式及信息反馈渠道</w:t>
      </w:r>
      <w:r>
        <w:rPr>
          <w:rFonts w:ascii="黑体" w:hAnsi="黑体" w:eastAsia="黑体" w:cs="黑体"/>
          <w:spacing w:val="8"/>
          <w:sz w:val="31"/>
          <w:szCs w:val="31"/>
        </w:rPr>
        <w:t xml:space="preserve">第五部分 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2026</w:t>
      </w:r>
      <w:r>
        <w:rPr>
          <w:rFonts w:ascii="黑体" w:hAnsi="黑体" w:eastAsia="黑体" w:cs="黑体"/>
          <w:spacing w:val="8"/>
          <w:sz w:val="31"/>
          <w:szCs w:val="31"/>
        </w:rPr>
        <w:t>年度单位预算表</w:t>
      </w:r>
    </w:p>
    <w:p w14:paraId="2DBE1515">
      <w:pPr>
        <w:spacing w:before="219" w:line="305" w:lineRule="auto"/>
        <w:ind w:right="22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一、收支总表</w:t>
      </w:r>
    </w:p>
    <w:p w14:paraId="0789BE20">
      <w:pPr>
        <w:spacing w:before="225" w:line="223" w:lineRule="auto"/>
        <w:ind w:left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二、收入总表</w:t>
      </w:r>
    </w:p>
    <w:p w14:paraId="5C792BCD">
      <w:pPr>
        <w:spacing w:before="225" w:line="224" w:lineRule="auto"/>
        <w:ind w:left="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三、支出总表</w:t>
      </w:r>
    </w:p>
    <w:p w14:paraId="71358D11">
      <w:pPr>
        <w:spacing w:before="224" w:line="223" w:lineRule="auto"/>
        <w:ind w:left="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四、财政拨款收支总表</w:t>
      </w:r>
    </w:p>
    <w:p w14:paraId="7B6B7511">
      <w:pPr>
        <w:spacing w:before="224" w:line="222" w:lineRule="auto"/>
        <w:ind w:left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五、一般公共预算支出表</w:t>
      </w:r>
    </w:p>
    <w:p w14:paraId="25A78666">
      <w:pPr>
        <w:spacing w:before="227" w:line="222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六、一般公共预算基本支出表</w:t>
      </w:r>
    </w:p>
    <w:p w14:paraId="1C98F81F">
      <w:pPr>
        <w:spacing w:before="227" w:line="222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6"/>
          <w:sz w:val="31"/>
          <w:szCs w:val="31"/>
        </w:rPr>
        <w:t>七、一般公共预算“三公”经费支出表</w:t>
      </w:r>
    </w:p>
    <w:p w14:paraId="3258E935">
      <w:pPr>
        <w:spacing w:before="228" w:line="220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6"/>
          <w:sz w:val="31"/>
          <w:szCs w:val="31"/>
        </w:rPr>
        <w:t>八、政府性基金预算支出表</w:t>
      </w:r>
    </w:p>
    <w:p w14:paraId="2187B81E">
      <w:pPr>
        <w:spacing w:before="230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九、国有资本经营预算支出表</w:t>
      </w:r>
    </w:p>
    <w:p w14:paraId="474D8C1C">
      <w:pPr>
        <w:spacing w:before="228" w:line="222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十、项目支出表</w:t>
      </w:r>
    </w:p>
    <w:p w14:paraId="5E940E2F">
      <w:pPr>
        <w:spacing w:before="227" w:line="222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十一、项目绩效目标表</w:t>
      </w:r>
    </w:p>
    <w:p w14:paraId="59C3183B">
      <w:pPr>
        <w:spacing w:before="226" w:line="222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十二、政府采购预算表</w:t>
      </w:r>
    </w:p>
    <w:p w14:paraId="2D3D6C43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10" w:h="16840"/>
          <w:pgMar w:top="1431" w:right="1608" w:bottom="1174" w:left="1655" w:header="0" w:footer="801" w:gutter="0"/>
          <w:pgNumType w:fmt="decimal" w:start="1"/>
          <w:cols w:space="720" w:num="1"/>
        </w:sectPr>
      </w:pPr>
    </w:p>
    <w:p w14:paraId="2FFC03D5">
      <w:pPr>
        <w:spacing w:before="301" w:line="495" w:lineRule="exact"/>
        <w:ind w:left="2300"/>
        <w:outlineLvl w:val="1"/>
        <w:rPr>
          <w:rFonts w:ascii="宋体" w:hAnsi="宋体" w:eastAsia="宋体" w:cs="宋体"/>
          <w:sz w:val="35"/>
          <w:szCs w:val="35"/>
        </w:rPr>
      </w:pPr>
      <w:bookmarkStart w:id="1" w:name="bookmark11"/>
      <w:bookmarkEnd w:id="1"/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第一部分</w:t>
      </w:r>
      <w:r>
        <w:rPr>
          <w:rFonts w:ascii="宋体" w:hAnsi="宋体" w:eastAsia="宋体" w:cs="宋体"/>
          <w:spacing w:val="5"/>
          <w:position w:val="2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单位概况</w:t>
      </w:r>
    </w:p>
    <w:p w14:paraId="36033695">
      <w:pPr>
        <w:pStyle w:val="3"/>
        <w:spacing w:line="326" w:lineRule="auto"/>
      </w:pPr>
    </w:p>
    <w:p w14:paraId="75BADDF5">
      <w:pPr>
        <w:pStyle w:val="3"/>
        <w:spacing w:line="327" w:lineRule="auto"/>
      </w:pPr>
    </w:p>
    <w:p w14:paraId="3616EEBE">
      <w:pPr>
        <w:spacing w:before="101" w:line="226" w:lineRule="auto"/>
        <w:ind w:left="77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一、主要职能职责</w:t>
      </w:r>
    </w:p>
    <w:p w14:paraId="5A120F8A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内蒙古河套灌区处于在黄河内蒙古段北岸的“几”字弯上，东西长250公里，南北宽50余公里，总土地面积1784万亩，现引黄灌溉面积1100万亩，是全国三个特大型灌区之一，也是亚洲最大一首制自流引水灌区。</w:t>
      </w:r>
    </w:p>
    <w:p w14:paraId="1E231C0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乌兰布和分中心隶属于内蒙古河套灌区水利发展中心，位于巴彦淖尔市的西南部，是内蒙古河套灌区的一个重要组成部分。灌域东南至黄河与鄂尔多斯市隔河相望，西南与阿拉善盟毗邻，东北部与解放闸灌域接壤，西北靠阴山山脉。地理坐标是：东经106009′-- 107010′，北纬40008＇--  40057′。灌域东西长92公里，南北宽65公里，现有灌溉面积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113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万亩。其中一干渠灌域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78.33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万亩，东风分干渠灌域24.57万亩，大滩分干渠灌域10.10万亩。承担有效排域面积22万亩，其中一排干12.4万亩，二排干9.6万亩。</w:t>
      </w:r>
    </w:p>
    <w:p w14:paraId="5916479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Courier New" w:cs="Times New Roman"/>
          <w:snapToGrid/>
          <w:kern w:val="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乌兰布和分中心灌域年引水量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3.6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亿立方米左右，年排水量700万立方米左右，承担着中国林科院沙林中心；巴彦淖尔市6个国营农场；磴口县5个苏木、镇、办事处；杭锦后旗1个镇；阿拉善盟1个国营农场及鄂尔多斯市杭锦旗巴拉亥镇部分耕地的灌排任务。</w:t>
      </w:r>
    </w:p>
    <w:p w14:paraId="3599939D">
      <w:pPr>
        <w:spacing w:line="227" w:lineRule="auto"/>
        <w:ind w:left="77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二、单位机构设置及预算单位构成情况</w:t>
      </w:r>
    </w:p>
    <w:p w14:paraId="64620012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仿宋" w:hAnsi="仿宋" w:eastAsia="仿宋" w:cs="仿宋"/>
          <w:spacing w:val="5"/>
          <w:sz w:val="31"/>
          <w:szCs w:val="31"/>
        </w:rPr>
        <w:t>．</w:t>
      </w:r>
      <w:r>
        <w:rPr>
          <w:rFonts w:hint="eastAsia" w:ascii="仿宋" w:hAnsi="仿宋" w:eastAsia="仿宋" w:cs="仿宋"/>
          <w:spacing w:val="5"/>
          <w:sz w:val="31"/>
          <w:szCs w:val="31"/>
        </w:rPr>
        <w:t>根据单位职责分工，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乌兰布和分中心</w:t>
      </w:r>
      <w:r>
        <w:rPr>
          <w:rFonts w:hint="eastAsia" w:ascii="仿宋" w:hAnsi="仿宋" w:eastAsia="仿宋" w:cs="仿宋"/>
          <w:spacing w:val="5"/>
          <w:sz w:val="31"/>
          <w:szCs w:val="31"/>
        </w:rPr>
        <w:t>内设机构包括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8个科室，分别是办公室、组织人事科、财务科、纪检室、供排水科、工程科、科技信息科、离退休人员工作科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spacing w:val="5"/>
          <w:sz w:val="31"/>
          <w:szCs w:val="31"/>
        </w:rPr>
        <w:t>本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单位包含8个</w:t>
      </w:r>
      <w:r>
        <w:rPr>
          <w:rFonts w:hint="eastAsia" w:ascii="仿宋" w:hAnsi="仿宋" w:eastAsia="仿宋" w:cs="仿宋"/>
          <w:spacing w:val="5"/>
          <w:sz w:val="31"/>
          <w:szCs w:val="31"/>
        </w:rPr>
        <w:t>下属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所站，分别是东风渠供水所、渡口渠供水所、一干渠供水所、建设一分干渠供水所、建设二分干渠供水所、建设三分干渠供水所、沙区试验站、排干所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。</w:t>
      </w:r>
    </w:p>
    <w:p w14:paraId="32C06F79">
      <w:pPr>
        <w:spacing w:before="228" w:line="312" w:lineRule="auto"/>
        <w:ind w:left="126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仿宋" w:hAnsi="仿宋" w:eastAsia="仿宋" w:cs="仿宋"/>
          <w:spacing w:val="3"/>
          <w:sz w:val="31"/>
          <w:szCs w:val="31"/>
        </w:rPr>
        <w:t>．</w:t>
      </w:r>
      <w:r>
        <w:rPr>
          <w:rFonts w:hint="eastAsia" w:ascii="仿宋" w:hAnsi="仿宋" w:eastAsia="仿宋" w:cs="仿宋"/>
          <w:spacing w:val="3"/>
          <w:sz w:val="31"/>
          <w:szCs w:val="31"/>
        </w:rPr>
        <w:t>从预算单位构成看，纳入本单位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</w:t>
      </w:r>
      <w:r>
        <w:rPr>
          <w:rFonts w:hint="eastAsia" w:ascii="仿宋" w:hAnsi="仿宋" w:eastAsia="仿宋" w:cs="仿宋"/>
          <w:spacing w:val="3"/>
          <w:sz w:val="31"/>
          <w:szCs w:val="31"/>
        </w:rPr>
        <w:t>年部门汇总预算编制范围的预算单位共计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</w:t>
      </w:r>
      <w:r>
        <w:rPr>
          <w:rFonts w:hint="eastAsia" w:ascii="仿宋" w:hAnsi="仿宋" w:eastAsia="仿宋" w:cs="仿宋"/>
          <w:spacing w:val="3"/>
          <w:sz w:val="31"/>
          <w:szCs w:val="31"/>
        </w:rPr>
        <w:t>家，具体包括：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乌兰布和分中心</w:t>
      </w:r>
      <w:r>
        <w:rPr>
          <w:rFonts w:hint="eastAsia" w:ascii="仿宋" w:hAnsi="仿宋" w:eastAsia="仿宋" w:cs="仿宋"/>
          <w:spacing w:val="3"/>
          <w:sz w:val="31"/>
          <w:szCs w:val="31"/>
        </w:rPr>
        <w:t>部门本级。详细情况见表：</w:t>
      </w:r>
    </w:p>
    <w:p w14:paraId="68A1A094">
      <w:pPr>
        <w:spacing w:line="22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3945"/>
        <w:gridCol w:w="3977"/>
      </w:tblGrid>
      <w:tr w14:paraId="452F4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604" w:type="dxa"/>
            <w:textDirection w:val="tbRlV"/>
            <w:vAlign w:val="top"/>
          </w:tcPr>
          <w:p w14:paraId="2B4A17A1">
            <w:pPr>
              <w:spacing w:before="174" w:line="214" w:lineRule="auto"/>
              <w:ind w:left="5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序</w:t>
            </w:r>
            <w:r>
              <w:rPr>
                <w:rFonts w:ascii="仿宋" w:hAnsi="仿宋" w:eastAsia="仿宋" w:cs="仿宋"/>
                <w:spacing w:val="-56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号</w:t>
            </w:r>
          </w:p>
        </w:tc>
        <w:tc>
          <w:tcPr>
            <w:tcW w:w="3945" w:type="dxa"/>
            <w:vAlign w:val="top"/>
          </w:tcPr>
          <w:p w14:paraId="2F903006">
            <w:pPr>
              <w:spacing w:before="250" w:line="222" w:lineRule="auto"/>
              <w:ind w:left="102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单位名称</w:t>
            </w:r>
          </w:p>
        </w:tc>
        <w:tc>
          <w:tcPr>
            <w:tcW w:w="3977" w:type="dxa"/>
            <w:vAlign w:val="top"/>
          </w:tcPr>
          <w:p w14:paraId="119344CC">
            <w:pPr>
              <w:spacing w:before="251" w:line="221" w:lineRule="auto"/>
              <w:ind w:left="169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"/>
                <w:sz w:val="30"/>
                <w:szCs w:val="30"/>
              </w:rPr>
              <w:t>单位性质</w:t>
            </w:r>
          </w:p>
        </w:tc>
      </w:tr>
      <w:tr w14:paraId="5E022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04" w:type="dxa"/>
            <w:vAlign w:val="top"/>
          </w:tcPr>
          <w:p w14:paraId="0001DA2B">
            <w:pPr>
              <w:spacing w:before="101" w:line="193" w:lineRule="auto"/>
              <w:ind w:left="265"/>
              <w:rPr>
                <w:rFonts w:hint="eastAsia" w:ascii="Times New Roman" w:hAnsi="Times New Roman" w:eastAsia="宋体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3945" w:type="dxa"/>
            <w:vAlign w:val="top"/>
          </w:tcPr>
          <w:p w14:paraId="004FFF63">
            <w:pPr>
              <w:spacing w:before="96" w:line="181" w:lineRule="auto"/>
              <w:ind w:left="11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highlight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3977" w:type="dxa"/>
            <w:vAlign w:val="top"/>
          </w:tcPr>
          <w:p w14:paraId="2A9D8009">
            <w:pPr>
              <w:spacing w:before="51" w:line="212" w:lineRule="auto"/>
              <w:ind w:left="117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8"/>
                <w:sz w:val="30"/>
                <w:szCs w:val="30"/>
              </w:rPr>
              <w:t>公益一类事业单位</w:t>
            </w:r>
          </w:p>
        </w:tc>
      </w:tr>
    </w:tbl>
    <w:p w14:paraId="5F56CA8C">
      <w:pPr>
        <w:spacing w:before="1" w:line="226" w:lineRule="auto"/>
        <w:ind w:left="773"/>
        <w:outlineLvl w:val="2"/>
        <w:rPr>
          <w:rFonts w:ascii="黑体" w:hAnsi="黑体" w:eastAsia="黑体" w:cs="黑体"/>
          <w:spacing w:val="8"/>
          <w:sz w:val="31"/>
          <w:szCs w:val="31"/>
        </w:rPr>
      </w:pPr>
    </w:p>
    <w:p w14:paraId="5FCD950D">
      <w:pPr>
        <w:spacing w:before="1" w:line="226" w:lineRule="auto"/>
        <w:ind w:left="77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2026</w:t>
      </w:r>
      <w:r>
        <w:rPr>
          <w:rFonts w:ascii="黑体" w:hAnsi="黑体" w:eastAsia="黑体" w:cs="黑体"/>
          <w:spacing w:val="8"/>
          <w:sz w:val="31"/>
          <w:szCs w:val="31"/>
        </w:rPr>
        <w:t>年度单位主要工作任务及目标</w:t>
      </w:r>
    </w:p>
    <w:p w14:paraId="5D85385E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1.深入落实供排水服务工作，严格落实河灌中心关于分凌防汛和灌排工作的安排部署，继续优化水量调度管理，提升灌域水资源精细化配置水平。</w:t>
      </w:r>
    </w:p>
    <w:p w14:paraId="34763A43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2.积极与各乡镇、农场进行沟通协调，把灌域的水情形势、水量指标和水费任务向广大灌户进行宣传，为来年的春夏灌工作奠定基础。</w:t>
      </w:r>
    </w:p>
    <w:p w14:paraId="0FC83577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3.把量水工作作为灌溉工作的重中之重，让广大灌户淌明白水、交明白费，坚决杜绝因水费而引起的群体性事件，确保灌域社会稳定。</w:t>
      </w:r>
    </w:p>
    <w:p w14:paraId="1317FCC8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4.按照《河套灌区现代化灌区规划》的工作部署，认真做好前期各项筹备工作，为高质量开展现代化灌区建设的各项工程任务奠定坚实基础。</w:t>
      </w:r>
    </w:p>
    <w:p w14:paraId="10F18ADB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5.做好202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6</w:t>
      </w:r>
      <w:r>
        <w:rPr>
          <w:rFonts w:hint="eastAsia" w:ascii="仿宋" w:hAnsi="仿宋" w:eastAsia="仿宋" w:cs="仿宋"/>
          <w:spacing w:val="5"/>
          <w:sz w:val="31"/>
          <w:szCs w:val="31"/>
        </w:rPr>
        <w:t>年度水权维养工程项目建设工作，并争取下一年度水权维养资金，确保各项目落地见效，不断提升灌域工程建管水平。</w:t>
      </w:r>
    </w:p>
    <w:p w14:paraId="635B7EC6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6.抓好东一支的改造和渡口镇大滩支渠的衬砌工程争取工作，力争2026年春天开工建设，打通灌域工程的“最后一公里”。</w:t>
      </w:r>
    </w:p>
    <w:p w14:paraId="0FB494F1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 xml:space="preserve">7.加强安全管理，常态化开展水利工程安全检查、渠道“清四乱”整治等工作。并继续优化完善分凌、防汛、抗旱等应急预案，切实保障渠道畅通和行水安全。   </w:t>
      </w:r>
    </w:p>
    <w:p w14:paraId="5D44B276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8.统筹推进党建与业务工作，继续加大“乌兰布和 水润民心”党建品牌创建力度，促进党建与供水服务、工程建设等业务工作共同发展。</w:t>
      </w:r>
    </w:p>
    <w:p w14:paraId="09BABAE0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9.全力支持和配合好河灌中心党组第八轮巡察一组的各项工作，坚决扛牢管党治党政治责任，认真落实整改责任，以全面从严治党新成效，引领保障灌域水利事业高质量发展。</w:t>
      </w:r>
    </w:p>
    <w:p w14:paraId="0F6A07D5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10.加强党风廉政建设，严格执行中央八项规定及其实施细则精神，不断强化日常监督督查，杜绝迟到早退、上岗饮酒等违规现象，营造风清气正的干事氛围。</w:t>
      </w:r>
    </w:p>
    <w:p w14:paraId="30926BA3">
      <w:pPr>
        <w:spacing w:before="228" w:line="312" w:lineRule="auto"/>
        <w:ind w:left="126" w:firstLine="632"/>
        <w:rPr>
          <w:rFonts w:hint="eastAsia" w:ascii="仿宋" w:hAnsi="仿宋" w:eastAsia="仿宋" w:cs="仿宋"/>
          <w:spacing w:val="5"/>
          <w:sz w:val="31"/>
          <w:szCs w:val="31"/>
        </w:rPr>
        <w:sectPr>
          <w:footerReference r:id="rId7" w:type="default"/>
          <w:pgSz w:w="11910" w:h="16840"/>
          <w:pgMar w:top="1431" w:right="1533" w:bottom="1174" w:left="1127" w:header="0" w:footer="804" w:gutter="0"/>
          <w:pgNumType w:fmt="decimal"/>
          <w:cols w:space="720" w:num="1"/>
        </w:sectPr>
      </w:pPr>
      <w:r>
        <w:rPr>
          <w:rFonts w:hint="eastAsia" w:ascii="仿宋" w:hAnsi="仿宋" w:eastAsia="仿宋" w:cs="仿宋"/>
          <w:spacing w:val="5"/>
          <w:sz w:val="31"/>
          <w:szCs w:val="31"/>
        </w:rPr>
        <w:t>下一步，乌兰布和分中心领导班子将锚定建设现代化灌区的总目标，以实干笃行筑牢灌域供水保障防线，为各项水利事业高质量发展书写新的时代篇章。</w:t>
      </w:r>
    </w:p>
    <w:p w14:paraId="6965B340">
      <w:pPr>
        <w:spacing w:before="301" w:line="495" w:lineRule="exact"/>
        <w:ind w:left="797"/>
        <w:outlineLvl w:val="1"/>
        <w:rPr>
          <w:rFonts w:ascii="宋体" w:hAnsi="宋体" w:eastAsia="宋体" w:cs="宋体"/>
          <w:sz w:val="35"/>
          <w:szCs w:val="35"/>
        </w:rPr>
      </w:pPr>
      <w:bookmarkStart w:id="2" w:name="bookmark12"/>
      <w:bookmarkEnd w:id="2"/>
      <w:r>
        <w:rPr>
          <w:rFonts w:ascii="宋体" w:hAnsi="宋体" w:eastAsia="宋体" w:cs="宋体"/>
          <w:b/>
          <w:bCs/>
          <w:spacing w:val="14"/>
          <w:position w:val="2"/>
          <w:sz w:val="35"/>
          <w:szCs w:val="35"/>
        </w:rPr>
        <w:t>第二部分</w:t>
      </w:r>
      <w:r>
        <w:rPr>
          <w:rFonts w:ascii="宋体" w:hAnsi="宋体" w:eastAsia="宋体" w:cs="宋体"/>
          <w:spacing w:val="7"/>
          <w:position w:val="2"/>
          <w:sz w:val="35"/>
          <w:szCs w:val="35"/>
        </w:rPr>
        <w:t xml:space="preserve">  </w:t>
      </w:r>
      <w:r>
        <w:rPr>
          <w:rFonts w:hint="eastAsia" w:ascii="宋体" w:hAnsi="宋体" w:eastAsia="宋体" w:cs="宋体"/>
          <w:spacing w:val="7"/>
          <w:position w:val="2"/>
          <w:sz w:val="35"/>
          <w:szCs w:val="35"/>
          <w:lang w:val="en-US" w:eastAsia="zh-CN"/>
        </w:rPr>
        <w:t>2026</w:t>
      </w:r>
      <w:r>
        <w:rPr>
          <w:rFonts w:ascii="宋体" w:hAnsi="宋体" w:eastAsia="宋体" w:cs="宋体"/>
          <w:b/>
          <w:bCs/>
          <w:spacing w:val="14"/>
          <w:position w:val="2"/>
          <w:sz w:val="35"/>
          <w:szCs w:val="35"/>
        </w:rPr>
        <w:t>年度单位预算情况说明</w:t>
      </w:r>
    </w:p>
    <w:p w14:paraId="2664802F">
      <w:pPr>
        <w:pStyle w:val="3"/>
        <w:spacing w:line="327" w:lineRule="auto"/>
      </w:pPr>
    </w:p>
    <w:p w14:paraId="0A4A3501">
      <w:pPr>
        <w:spacing w:before="101" w:line="226" w:lineRule="auto"/>
        <w:ind w:left="65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一、收支预算总体情况说明</w:t>
      </w:r>
    </w:p>
    <w:p w14:paraId="6902222A">
      <w:pPr>
        <w:spacing w:before="228" w:line="312" w:lineRule="auto"/>
        <w:ind w:left="7" w:firstLine="63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>内蒙古河套灌区水利发展中心乌兰布和分中心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4"/>
          <w:sz w:val="31"/>
          <w:szCs w:val="31"/>
        </w:rPr>
        <w:t>收入、支出预算总计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 xml:space="preserve">4230.24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</w:t>
      </w:r>
      <w:r>
        <w:rPr>
          <w:rFonts w:ascii="仿宋" w:hAnsi="仿宋" w:eastAsia="仿宋" w:cs="仿宋"/>
          <w:spacing w:val="3"/>
          <w:sz w:val="31"/>
          <w:szCs w:val="31"/>
        </w:rPr>
        <w:t>，与上</w:t>
      </w:r>
      <w:r>
        <w:rPr>
          <w:rFonts w:ascii="仿宋" w:hAnsi="仿宋" w:eastAsia="仿宋" w:cs="仿宋"/>
          <w:spacing w:val="-23"/>
          <w:sz w:val="31"/>
          <w:szCs w:val="31"/>
        </w:rPr>
        <w:t>年相比收、支预算总计各增加</w:t>
      </w:r>
      <w:r>
        <w:rPr>
          <w:rFonts w:ascii="仿宋" w:hAnsi="仿宋" w:eastAsia="仿宋" w:cs="仿宋"/>
          <w:spacing w:val="-2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23"/>
          <w:sz w:val="31"/>
          <w:szCs w:val="31"/>
          <w:u w:val="single" w:color="auto"/>
          <w:lang w:val="en-US" w:eastAsia="zh-CN"/>
        </w:rPr>
        <w:t>106.13</w:t>
      </w:r>
      <w:r>
        <w:rPr>
          <w:rFonts w:ascii="仿宋" w:hAnsi="仿宋" w:eastAsia="仿宋" w:cs="仿宋"/>
          <w:spacing w:val="-2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万元，增长</w:t>
      </w:r>
      <w:r>
        <w:rPr>
          <w:rFonts w:ascii="仿宋" w:hAnsi="仿宋" w:eastAsia="仿宋" w:cs="仿宋"/>
          <w:spacing w:val="-23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23"/>
          <w:sz w:val="31"/>
          <w:szCs w:val="31"/>
          <w:u w:val="single" w:color="auto"/>
          <w:lang w:val="en-US" w:eastAsia="zh-CN"/>
        </w:rPr>
        <w:t>2.57</w:t>
      </w:r>
      <w:r>
        <w:rPr>
          <w:rFonts w:ascii="仿宋" w:hAnsi="仿宋" w:eastAsia="仿宋" w:cs="仿宋"/>
          <w:spacing w:val="-2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%。</w:t>
      </w:r>
      <w:r>
        <w:rPr>
          <w:rFonts w:ascii="仿宋" w:hAnsi="仿宋" w:eastAsia="仿宋" w:cs="仿宋"/>
          <w:spacing w:val="1"/>
          <w:sz w:val="31"/>
          <w:szCs w:val="31"/>
        </w:rPr>
        <w:t>其中：</w:t>
      </w:r>
    </w:p>
    <w:p w14:paraId="00019C3B">
      <w:pPr>
        <w:spacing w:before="224" w:line="234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（一）收入预算总计</w:t>
      </w:r>
      <w:r>
        <w:rPr>
          <w:rFonts w:ascii="楷体" w:hAnsi="楷体" w:eastAsia="楷体" w:cs="楷体"/>
          <w:spacing w:val="-14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楷体" w:hAnsi="楷体" w:eastAsia="楷体" w:cs="楷体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楷体" w:hAnsi="楷体" w:eastAsia="楷体" w:cs="楷体"/>
          <w:spacing w:val="5"/>
          <w:sz w:val="31"/>
          <w:szCs w:val="31"/>
          <w:u w:val="single" w:color="auto"/>
        </w:rPr>
        <w:t xml:space="preserve"> </w:t>
      </w:r>
      <w:r>
        <w:rPr>
          <w:rFonts w:ascii="楷体" w:hAnsi="楷体" w:eastAsia="楷体" w:cs="楷体"/>
          <w:spacing w:val="-13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万元。包括：</w:t>
      </w:r>
    </w:p>
    <w:p w14:paraId="535E2544">
      <w:pPr>
        <w:spacing w:before="209" w:line="222" w:lineRule="auto"/>
        <w:ind w:left="67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2"/>
          <w:sz w:val="31"/>
          <w:szCs w:val="31"/>
        </w:rPr>
        <w:t>．本年收入合计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万元。</w:t>
      </w:r>
    </w:p>
    <w:p w14:paraId="7072267A">
      <w:pPr>
        <w:spacing w:before="228" w:line="290" w:lineRule="auto"/>
        <w:ind w:left="7" w:right="91" w:firstLine="630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7"/>
          <w:sz w:val="31"/>
          <w:szCs w:val="31"/>
          <w:lang w:eastAsia="zh-CN"/>
        </w:rPr>
        <w:t>（</w:t>
      </w:r>
      <w:r>
        <w:rPr>
          <w:rFonts w:hint="eastAsia" w:ascii="仿宋" w:hAnsi="仿宋" w:eastAsia="仿宋" w:cs="仿宋"/>
          <w:spacing w:val="-7"/>
          <w:sz w:val="31"/>
          <w:szCs w:val="31"/>
          <w:lang w:val="en-US" w:eastAsia="zh-CN"/>
        </w:rPr>
        <w:t>1</w:t>
      </w:r>
      <w:r>
        <w:rPr>
          <w:rFonts w:hint="eastAsia" w:ascii="仿宋" w:hAnsi="仿宋" w:eastAsia="仿宋" w:cs="仿宋"/>
          <w:spacing w:val="-7"/>
          <w:sz w:val="31"/>
          <w:szCs w:val="31"/>
          <w:lang w:eastAsia="zh-CN"/>
        </w:rPr>
        <w:t>）</w:t>
      </w:r>
      <w:r>
        <w:rPr>
          <w:rFonts w:ascii="仿宋" w:hAnsi="仿宋" w:eastAsia="仿宋" w:cs="仿宋"/>
          <w:spacing w:val="-7"/>
          <w:sz w:val="31"/>
          <w:szCs w:val="31"/>
        </w:rPr>
        <w:t>一般公共预算拨款收入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万元，与上年相比增加（减</w:t>
      </w:r>
      <w:r>
        <w:rPr>
          <w:rFonts w:ascii="仿宋" w:hAnsi="仿宋" w:eastAsia="仿宋" w:cs="仿宋"/>
          <w:spacing w:val="3"/>
          <w:sz w:val="31"/>
          <w:szCs w:val="31"/>
        </w:rPr>
        <w:t>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106.13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2.57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2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2025年度新进人员28人，于2026年纳入预算，职工实施职级与职务正常晋升，工资、保险整体待遇上调等原因导致测算基数较大，因此2026年一般公共预算拨款收入增加。</w:t>
      </w:r>
    </w:p>
    <w:p w14:paraId="419259E2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（2）</w:t>
      </w:r>
      <w:r>
        <w:rPr>
          <w:rFonts w:ascii="仿宋" w:hAnsi="仿宋" w:eastAsia="仿宋" w:cs="仿宋"/>
          <w:spacing w:val="11"/>
          <w:sz w:val="31"/>
          <w:szCs w:val="31"/>
        </w:rPr>
        <w:t>政府性基金预算拨款收入</w:t>
      </w:r>
      <w:r>
        <w:rPr>
          <w:rFonts w:ascii="仿宋" w:hAnsi="仿宋" w:eastAsia="仿宋" w:cs="仿宋"/>
          <w:spacing w:val="-1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7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7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万元，与上年</w:t>
      </w:r>
      <w:r>
        <w:rPr>
          <w:rFonts w:ascii="仿宋" w:hAnsi="仿宋" w:eastAsia="仿宋" w:cs="仿宋"/>
          <w:spacing w:val="10"/>
          <w:sz w:val="31"/>
          <w:szCs w:val="31"/>
        </w:rPr>
        <w:t>相比增加</w:t>
      </w:r>
      <w:r>
        <w:rPr>
          <w:rFonts w:ascii="仿宋" w:hAnsi="仿宋" w:eastAsia="仿宋" w:cs="仿宋"/>
          <w:spacing w:val="3"/>
          <w:sz w:val="31"/>
          <w:szCs w:val="31"/>
        </w:rPr>
        <w:t>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52783D2B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3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（3）</w:t>
      </w:r>
      <w:r>
        <w:rPr>
          <w:rFonts w:ascii="仿宋" w:hAnsi="仿宋" w:eastAsia="仿宋" w:cs="仿宋"/>
          <w:spacing w:val="3"/>
          <w:sz w:val="31"/>
          <w:szCs w:val="31"/>
        </w:rPr>
        <w:t>国有资本经营预算拨款收入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万元，与上年相比增加（减少）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%。主要原因是</w:t>
      </w:r>
      <w:r>
        <w:rPr>
          <w:rFonts w:ascii="仿宋" w:hAnsi="仿宋" w:eastAsia="仿宋" w:cs="仿宋"/>
          <w:spacing w:val="-10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214DDA34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（4）</w:t>
      </w:r>
      <w:r>
        <w:rPr>
          <w:rFonts w:ascii="仿宋" w:hAnsi="仿宋" w:eastAsia="仿宋" w:cs="仿宋"/>
          <w:spacing w:val="-2"/>
          <w:sz w:val="31"/>
          <w:szCs w:val="31"/>
        </w:rPr>
        <w:t>财政专户管理资金收入</w:t>
      </w:r>
      <w:r>
        <w:rPr>
          <w:rFonts w:ascii="仿宋" w:hAnsi="仿宋" w:eastAsia="仿宋" w:cs="仿宋"/>
          <w:spacing w:val="-1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万元，与上年相比增加（减</w:t>
      </w:r>
      <w:r>
        <w:rPr>
          <w:rFonts w:ascii="仿宋" w:hAnsi="仿宋" w:eastAsia="仿宋" w:cs="仿宋"/>
          <w:spacing w:val="3"/>
          <w:sz w:val="31"/>
          <w:szCs w:val="31"/>
        </w:rPr>
        <w:t>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30D6F86E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（5）</w:t>
      </w:r>
      <w:r>
        <w:rPr>
          <w:rFonts w:ascii="仿宋" w:hAnsi="仿宋" w:eastAsia="仿宋" w:cs="仿宋"/>
          <w:spacing w:val="2"/>
          <w:sz w:val="31"/>
          <w:szCs w:val="31"/>
        </w:rPr>
        <w:t>事业收入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万元，与上年相比增加（减少）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</w:t>
      </w:r>
      <w:r>
        <w:rPr>
          <w:rFonts w:ascii="仿宋" w:hAnsi="仿宋" w:eastAsia="仿宋" w:cs="仿宋"/>
          <w:spacing w:val="2"/>
          <w:sz w:val="31"/>
          <w:szCs w:val="31"/>
        </w:rPr>
        <w:t>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ascii="仿宋" w:hAnsi="仿宋" w:eastAsia="仿宋" w:cs="仿宋"/>
          <w:spacing w:val="-10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27A2C6DB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（6）</w:t>
      </w:r>
      <w:r>
        <w:rPr>
          <w:rFonts w:ascii="仿宋" w:hAnsi="仿宋" w:eastAsia="仿宋" w:cs="仿宋"/>
          <w:spacing w:val="4"/>
          <w:sz w:val="31"/>
          <w:szCs w:val="31"/>
        </w:rPr>
        <w:t>事业单位经营收入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万元，与上年相比增加（减</w:t>
      </w:r>
      <w:r>
        <w:rPr>
          <w:rFonts w:ascii="仿宋" w:hAnsi="仿宋" w:eastAsia="仿宋" w:cs="仿宋"/>
          <w:spacing w:val="3"/>
          <w:sz w:val="31"/>
          <w:szCs w:val="31"/>
        </w:rPr>
        <w:t>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ascii="仿宋" w:hAnsi="仿宋" w:eastAsia="仿宋" w:cs="仿宋"/>
          <w:spacing w:val="-10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7BD7C8DA">
      <w:pPr>
        <w:numPr>
          <w:ilvl w:val="0"/>
          <w:numId w:val="0"/>
        </w:numPr>
        <w:spacing w:before="226" w:line="290" w:lineRule="auto"/>
        <w:ind w:right="91" w:rightChars="0" w:firstLine="638" w:firstLineChars="0"/>
      </w:pPr>
      <w:r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  <w:t>（7）</w:t>
      </w:r>
      <w:r>
        <w:rPr>
          <w:rFonts w:ascii="仿宋" w:hAnsi="仿宋" w:eastAsia="仿宋" w:cs="仿宋"/>
          <w:spacing w:val="16"/>
          <w:sz w:val="31"/>
          <w:szCs w:val="31"/>
        </w:rPr>
        <w:t>（</w:t>
      </w:r>
      <w:r>
        <w:rPr>
          <w:rFonts w:ascii="仿宋" w:hAnsi="仿宋" w:eastAsia="仿宋" w:cs="仿宋"/>
          <w:spacing w:val="-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上级补助收入</w:t>
      </w:r>
      <w:r>
        <w:rPr>
          <w:rFonts w:ascii="仿宋" w:hAnsi="仿宋" w:eastAsia="仿宋" w:cs="仿宋"/>
          <w:spacing w:val="-1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19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万元，与上年相比增加（减</w:t>
      </w:r>
      <w:r>
        <w:rPr>
          <w:rFonts w:ascii="仿宋" w:hAnsi="仿宋" w:eastAsia="仿宋" w:cs="仿宋"/>
          <w:spacing w:val="15"/>
          <w:sz w:val="31"/>
          <w:szCs w:val="31"/>
        </w:rPr>
        <w:t>少）</w:t>
      </w:r>
      <w:r>
        <w:rPr>
          <w:rFonts w:hint="eastAsia" w:ascii="仿宋" w:hAnsi="仿宋" w:eastAsia="仿宋" w:cs="仿宋"/>
          <w:spacing w:val="15"/>
          <w:sz w:val="31"/>
          <w:szCs w:val="31"/>
          <w:u w:val="single"/>
          <w:lang w:val="en-US" w:eastAsia="zh-CN"/>
        </w:rPr>
        <w:t xml:space="preserve">  0 </w:t>
      </w:r>
      <w:r>
        <w:rPr>
          <w:rFonts w:ascii="仿宋" w:hAnsi="仿宋" w:eastAsia="仿宋" w:cs="仿宋"/>
          <w:spacing w:val="2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本单位不涉及此项收入。    </w:t>
      </w:r>
    </w:p>
    <w:p w14:paraId="4CBCD175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（8）</w:t>
      </w:r>
      <w:r>
        <w:rPr>
          <w:rFonts w:ascii="仿宋" w:hAnsi="仿宋" w:eastAsia="仿宋" w:cs="仿宋"/>
          <w:spacing w:val="1"/>
          <w:sz w:val="31"/>
          <w:szCs w:val="31"/>
        </w:rPr>
        <w:t>附属单位上缴收入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万元，与上年相比增加（减</w:t>
      </w:r>
      <w:r>
        <w:rPr>
          <w:rFonts w:ascii="仿宋" w:hAnsi="仿宋" w:eastAsia="仿宋" w:cs="仿宋"/>
          <w:spacing w:val="3"/>
          <w:sz w:val="31"/>
          <w:szCs w:val="31"/>
        </w:rPr>
        <w:t>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6683CBCA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（9）</w:t>
      </w:r>
      <w:r>
        <w:rPr>
          <w:rFonts w:ascii="仿宋" w:hAnsi="仿宋" w:eastAsia="仿宋" w:cs="仿宋"/>
          <w:spacing w:val="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9</w:t>
      </w:r>
      <w:r>
        <w:rPr>
          <w:rFonts w:ascii="仿宋" w:hAnsi="仿宋" w:eastAsia="仿宋" w:cs="仿宋"/>
          <w:spacing w:val="3"/>
          <w:sz w:val="31"/>
          <w:szCs w:val="31"/>
        </w:rPr>
        <w:t>）其他收入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万元，与上年相比增加（减少）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</w:t>
      </w:r>
      <w:r>
        <w:rPr>
          <w:rFonts w:ascii="仿宋" w:hAnsi="仿宋" w:eastAsia="仿宋" w:cs="仿宋"/>
          <w:spacing w:val="2"/>
          <w:sz w:val="31"/>
          <w:szCs w:val="31"/>
        </w:rPr>
        <w:t>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本单位不涉及此项收入，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。    </w:t>
      </w:r>
    </w:p>
    <w:p w14:paraId="647AA33C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（10）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仿宋" w:hAnsi="仿宋" w:eastAsia="仿宋" w:cs="仿宋"/>
          <w:spacing w:val="3"/>
          <w:sz w:val="31"/>
          <w:szCs w:val="31"/>
        </w:rPr>
        <w:t>．上年结转结余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万元。与上年相比增加（减少）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</w:t>
      </w:r>
      <w:r>
        <w:rPr>
          <w:rFonts w:ascii="仿宋" w:hAnsi="仿宋" w:eastAsia="仿宋" w:cs="仿宋"/>
          <w:spacing w:val="2"/>
          <w:sz w:val="31"/>
          <w:szCs w:val="31"/>
        </w:rPr>
        <w:t>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%。主要原因是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本单位</w:t>
      </w:r>
      <w:r>
        <w:rPr>
          <w:rFonts w:ascii="仿宋" w:hAnsi="仿宋" w:eastAsia="仿宋" w:cs="仿宋"/>
          <w:spacing w:val="6"/>
          <w:sz w:val="31"/>
          <w:szCs w:val="31"/>
        </w:rPr>
        <w:t>不存在此项内容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 w14:paraId="552AAC56">
      <w:pPr>
        <w:spacing w:before="1" w:line="233" w:lineRule="auto"/>
        <w:ind w:left="66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（二）支出预算总计</w:t>
      </w:r>
      <w:r>
        <w:rPr>
          <w:rFonts w:ascii="楷体" w:hAnsi="楷体" w:eastAsia="楷体" w:cs="楷体"/>
          <w:spacing w:val="-14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楷体" w:hAnsi="楷体" w:eastAsia="楷体" w:cs="楷体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楷体" w:hAnsi="楷体" w:eastAsia="楷体" w:cs="楷体"/>
          <w:spacing w:val="5"/>
          <w:sz w:val="31"/>
          <w:szCs w:val="31"/>
          <w:u w:val="single" w:color="auto"/>
        </w:rPr>
        <w:t xml:space="preserve">  </w:t>
      </w:r>
      <w:r>
        <w:rPr>
          <w:rFonts w:ascii="楷体" w:hAnsi="楷体" w:eastAsia="楷体" w:cs="楷体"/>
          <w:spacing w:val="-13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万元。包括：</w:t>
      </w:r>
    </w:p>
    <w:p w14:paraId="055CE702">
      <w:pPr>
        <w:spacing w:before="209" w:line="222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2"/>
          <w:sz w:val="31"/>
          <w:szCs w:val="31"/>
        </w:rPr>
        <w:t>．本年支出合计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万元。</w:t>
      </w:r>
    </w:p>
    <w:p w14:paraId="58FD8533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（1）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社会保障和就业</w:t>
      </w:r>
      <w:r>
        <w:rPr>
          <w:rFonts w:ascii="仿宋" w:hAnsi="仿宋" w:eastAsia="仿宋" w:cs="仿宋"/>
          <w:spacing w:val="2"/>
          <w:sz w:val="31"/>
          <w:szCs w:val="31"/>
        </w:rPr>
        <w:t>支出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573.31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万元，主要用于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职工的保险单位部分</w:t>
      </w:r>
      <w:r>
        <w:rPr>
          <w:rFonts w:ascii="仿宋" w:hAnsi="仿宋" w:eastAsia="仿宋" w:cs="仿宋"/>
          <w:spacing w:val="2"/>
          <w:sz w:val="31"/>
          <w:szCs w:val="31"/>
        </w:rPr>
        <w:t>。与上年相比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减少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121.06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降低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 xml:space="preserve">17.43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eastAsia="zh-CN"/>
        </w:rPr>
        <w:t>%</w:t>
      </w:r>
      <w:r>
        <w:rPr>
          <w:rFonts w:ascii="仿宋" w:hAnsi="仿宋" w:eastAsia="仿宋" w:cs="仿宋"/>
          <w:spacing w:val="2"/>
          <w:sz w:val="31"/>
          <w:szCs w:val="31"/>
        </w:rPr>
        <w:t>。主要原因是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2025年度乌兰布和分中心退休人员较上年减少，退休人员去世，退休人员13年15年补贴减少，因此2025年社会保障和就业预算支出减少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 w14:paraId="6A3B1B6F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（2）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卫生健康</w:t>
      </w:r>
      <w:r>
        <w:rPr>
          <w:rFonts w:ascii="仿宋" w:hAnsi="仿宋" w:eastAsia="仿宋" w:cs="仿宋"/>
          <w:spacing w:val="2"/>
          <w:sz w:val="31"/>
          <w:szCs w:val="31"/>
        </w:rPr>
        <w:t>支出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266.84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万元，主要用于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职工医疗保险单位部分</w:t>
      </w:r>
      <w:r>
        <w:rPr>
          <w:rFonts w:ascii="仿宋" w:hAnsi="仿宋" w:eastAsia="仿宋" w:cs="仿宋"/>
          <w:spacing w:val="2"/>
          <w:sz w:val="31"/>
          <w:szCs w:val="31"/>
        </w:rPr>
        <w:t>。与上年相比增加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20.42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 </w:t>
      </w:r>
      <w:r>
        <w:rPr>
          <w:rFonts w:ascii="仿宋" w:hAnsi="仿宋" w:eastAsia="仿宋" w:cs="仿宋"/>
          <w:spacing w:val="2"/>
          <w:sz w:val="31"/>
          <w:szCs w:val="31"/>
        </w:rPr>
        <w:t>万元，增长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8.28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eastAsia="zh-CN"/>
        </w:rPr>
        <w:t>%</w:t>
      </w:r>
      <w:r>
        <w:rPr>
          <w:rFonts w:ascii="仿宋" w:hAnsi="仿宋" w:eastAsia="仿宋" w:cs="仿宋"/>
          <w:spacing w:val="2"/>
          <w:sz w:val="31"/>
          <w:szCs w:val="31"/>
        </w:rPr>
        <w:t>。主要原因是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2025年实施职级与职务正常晋升，增资等原因导致测算基数较大，并且2025年新进人员28人，于2026年加入预算测算依据，调整社保基数等。因此2026年增加卫生健康支出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 w14:paraId="035CDEAB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hint="eastAsia" w:ascii="仿宋" w:hAnsi="仿宋" w:eastAsia="仿宋" w:cs="仿宋"/>
          <w:spacing w:val="2"/>
          <w:sz w:val="31"/>
          <w:szCs w:val="31"/>
          <w:lang w:eastAsia="zh-CN"/>
        </w:rPr>
        <w:t>（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3</w:t>
      </w:r>
      <w:r>
        <w:rPr>
          <w:rFonts w:hint="eastAsia" w:ascii="仿宋" w:hAnsi="仿宋" w:eastAsia="仿宋" w:cs="仿宋"/>
          <w:spacing w:val="2"/>
          <w:sz w:val="31"/>
          <w:szCs w:val="31"/>
          <w:lang w:eastAsia="zh-CN"/>
        </w:rPr>
        <w:t>）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农林水支出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 xml:space="preserve"> 3072.2 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 xml:space="preserve"> 万元，主要用于职工的工资、单位的运行费用，</w:t>
      </w:r>
      <w:r>
        <w:rPr>
          <w:rFonts w:ascii="仿宋" w:hAnsi="仿宋" w:eastAsia="仿宋" w:cs="仿宋"/>
          <w:spacing w:val="2"/>
          <w:sz w:val="31"/>
          <w:szCs w:val="31"/>
        </w:rPr>
        <w:t>与上年相比增加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185.52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万元，增长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6.42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eastAsia="zh-CN"/>
        </w:rPr>
        <w:t>%</w:t>
      </w:r>
      <w:r>
        <w:rPr>
          <w:rFonts w:ascii="仿宋" w:hAnsi="仿宋" w:eastAsia="仿宋" w:cs="仿宋"/>
          <w:spacing w:val="2"/>
          <w:sz w:val="31"/>
          <w:szCs w:val="31"/>
        </w:rPr>
        <w:t>。主要原因是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2025年实施职级与职务正常晋升，增资等原因导致测算基数较大，并且2025年新进人员28人，于2026年加入预算测算依据等。日常公用经费照往年支出增加，因此2026年增加农林水支出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 w14:paraId="530C12AE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hint="default" w:ascii="仿宋" w:hAnsi="仿宋" w:eastAsia="仿宋" w:cs="仿宋"/>
          <w:spacing w:val="2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（4）住房保障</w:t>
      </w:r>
      <w:r>
        <w:rPr>
          <w:rFonts w:ascii="仿宋" w:hAnsi="仿宋" w:eastAsia="仿宋" w:cs="仿宋"/>
          <w:spacing w:val="2"/>
          <w:sz w:val="31"/>
          <w:szCs w:val="31"/>
        </w:rPr>
        <w:t>支出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317.89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万元，主要用于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职工住房公积金单位部分</w:t>
      </w:r>
      <w:r>
        <w:rPr>
          <w:rFonts w:ascii="仿宋" w:hAnsi="仿宋" w:eastAsia="仿宋" w:cs="仿宋"/>
          <w:spacing w:val="2"/>
          <w:sz w:val="31"/>
          <w:szCs w:val="31"/>
        </w:rPr>
        <w:t>。与上年相比增加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21.25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万元，增长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7.16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lang w:eastAsia="zh-CN"/>
        </w:rPr>
        <w:t>%</w:t>
      </w:r>
      <w:r>
        <w:rPr>
          <w:rFonts w:ascii="仿宋" w:hAnsi="仿宋" w:eastAsia="仿宋" w:cs="仿宋"/>
          <w:spacing w:val="2"/>
          <w:sz w:val="31"/>
          <w:szCs w:val="31"/>
        </w:rPr>
        <w:t>。主要原因是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2025年实施职级与职务正常晋升，增资等原因导致测算基数较大，并且2025年新进人员28人，于2026年加入预算测算依据，调整住房公积金，社保基数等。因此2026年增加住房保障支出。</w:t>
      </w:r>
    </w:p>
    <w:p w14:paraId="4F696B41">
      <w:pPr>
        <w:numPr>
          <w:ilvl w:val="0"/>
          <w:numId w:val="0"/>
        </w:numPr>
        <w:spacing w:before="226" w:line="290" w:lineRule="auto"/>
        <w:ind w:right="91" w:rightChars="0" w:firstLine="638" w:firstLineChars="0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2．年终结转结余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2026年无年终结转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 w14:paraId="147381DF">
      <w:pPr>
        <w:spacing w:before="231" w:line="226" w:lineRule="auto"/>
        <w:ind w:left="64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二、收入预算情况说明</w:t>
      </w:r>
    </w:p>
    <w:p w14:paraId="2226469B">
      <w:pPr>
        <w:spacing w:line="221" w:lineRule="auto"/>
        <w:jc w:val="left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none"/>
          <w:lang w:val="en-US" w:eastAsia="zh-CN" w:bidi="ar"/>
        </w:rPr>
        <w:t>2026</w:t>
      </w:r>
      <w:r>
        <w:rPr>
          <w:rFonts w:ascii="仿宋" w:hAnsi="仿宋" w:eastAsia="仿宋" w:cs="仿宋"/>
          <w:spacing w:val="12"/>
          <w:sz w:val="31"/>
          <w:szCs w:val="31"/>
        </w:rPr>
        <w:t>年度收入预算总计</w:t>
      </w:r>
      <w:r>
        <w:rPr>
          <w:rFonts w:ascii="仿宋" w:hAnsi="仿宋" w:eastAsia="仿宋" w:cs="仿宋"/>
          <w:spacing w:val="68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68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68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万元，包括本年</w:t>
      </w:r>
      <w:r>
        <w:rPr>
          <w:rFonts w:hint="eastAsia" w:ascii="仿宋" w:hAnsi="仿宋" w:eastAsia="仿宋" w:cs="仿宋"/>
          <w:spacing w:val="12"/>
          <w:sz w:val="31"/>
          <w:szCs w:val="31"/>
          <w:lang w:val="en-US" w:eastAsia="zh-CN"/>
        </w:rPr>
        <w:t>收</w:t>
      </w:r>
      <w:r>
        <w:rPr>
          <w:rFonts w:ascii="仿宋" w:hAnsi="仿宋" w:eastAsia="仿宋" w:cs="仿宋"/>
          <w:spacing w:val="4"/>
          <w:sz w:val="31"/>
          <w:szCs w:val="31"/>
        </w:rPr>
        <w:t>入</w:t>
      </w:r>
      <w:r>
        <w:rPr>
          <w:rFonts w:ascii="仿宋" w:hAnsi="仿宋" w:eastAsia="仿宋" w:cs="仿宋"/>
          <w:spacing w:val="-1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万元，上年结转结余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万元。其中：</w:t>
      </w:r>
    </w:p>
    <w:p w14:paraId="11A6130E">
      <w:pPr>
        <w:spacing w:before="232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本年一般公共预算收入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100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%；</w:t>
      </w:r>
    </w:p>
    <w:p w14:paraId="75A443C9">
      <w:pPr>
        <w:spacing w:before="228" w:line="220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本年政府性基金预算收入</w:t>
      </w:r>
      <w:r>
        <w:rPr>
          <w:rFonts w:ascii="仿宋" w:hAnsi="仿宋" w:eastAsia="仿宋" w:cs="仿宋"/>
          <w:spacing w:val="-1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%；</w:t>
      </w:r>
    </w:p>
    <w:p w14:paraId="644C6B11">
      <w:pPr>
        <w:spacing w:before="229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本年国有资本经营预算收入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%；</w:t>
      </w:r>
    </w:p>
    <w:p w14:paraId="0148DEF8">
      <w:pPr>
        <w:spacing w:before="228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本年财政专户管理资金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%；</w:t>
      </w:r>
    </w:p>
    <w:p w14:paraId="616818C8">
      <w:pPr>
        <w:spacing w:before="227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本年事业收入</w:t>
      </w:r>
      <w:r>
        <w:rPr>
          <w:rFonts w:ascii="仿宋" w:hAnsi="仿宋" w:eastAsia="仿宋" w:cs="仿宋"/>
          <w:spacing w:val="-1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万元，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%；</w:t>
      </w:r>
    </w:p>
    <w:p w14:paraId="2E3F214D">
      <w:pPr>
        <w:spacing w:before="226" w:line="221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本年事业单位经营收入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%；</w:t>
      </w:r>
    </w:p>
    <w:p w14:paraId="2B38867C">
      <w:pPr>
        <w:spacing w:before="228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本年上级补助收入</w:t>
      </w:r>
      <w:r>
        <w:rPr>
          <w:rFonts w:ascii="仿宋" w:hAnsi="仿宋" w:eastAsia="仿宋" w:cs="仿宋"/>
          <w:spacing w:val="-1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%；</w:t>
      </w:r>
    </w:p>
    <w:p w14:paraId="415ABA35">
      <w:pPr>
        <w:spacing w:before="228" w:line="221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本年附属单位上缴收入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%；</w:t>
      </w:r>
    </w:p>
    <w:p w14:paraId="0323FB2A">
      <w:pPr>
        <w:spacing w:before="228" w:line="222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本年其他收入</w:t>
      </w:r>
      <w:r>
        <w:rPr>
          <w:rFonts w:ascii="仿宋" w:hAnsi="仿宋" w:eastAsia="仿宋" w:cs="仿宋"/>
          <w:spacing w:val="-1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万元，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%；</w:t>
      </w:r>
    </w:p>
    <w:p w14:paraId="71E6616E">
      <w:pPr>
        <w:spacing w:before="228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上年结转结余的一般公共预算收入</w:t>
      </w:r>
      <w:r>
        <w:rPr>
          <w:rFonts w:ascii="仿宋" w:hAnsi="仿宋" w:eastAsia="仿宋" w:cs="仿宋"/>
          <w:spacing w:val="-1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%；</w:t>
      </w:r>
    </w:p>
    <w:p w14:paraId="010284C4">
      <w:pPr>
        <w:spacing w:before="232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上年结转结余的政府性基金预算收入</w:t>
      </w:r>
      <w:r>
        <w:rPr>
          <w:rFonts w:ascii="仿宋" w:hAnsi="仿宋" w:eastAsia="仿宋" w:cs="仿宋"/>
          <w:spacing w:val="-1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%；</w:t>
      </w:r>
    </w:p>
    <w:p w14:paraId="63B53379">
      <w:pPr>
        <w:spacing w:before="232"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上年结转结余的国有资本经营预算收入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万元，占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%；</w:t>
      </w:r>
    </w:p>
    <w:p w14:paraId="0786778A">
      <w:pPr>
        <w:spacing w:before="233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上年结转结余的财政专户管理资金</w:t>
      </w:r>
      <w:r>
        <w:rPr>
          <w:rFonts w:ascii="仿宋" w:hAnsi="仿宋" w:eastAsia="仿宋" w:cs="仿宋"/>
          <w:spacing w:val="-1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%；</w:t>
      </w:r>
    </w:p>
    <w:p w14:paraId="0034D039">
      <w:pPr>
        <w:spacing w:before="232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上年结转结余的单位资金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%。</w:t>
      </w:r>
    </w:p>
    <w:p w14:paraId="7B83606C">
      <w:pPr>
        <w:spacing w:before="233" w:line="358" w:lineRule="auto"/>
        <w:ind w:left="2" w:right="231" w:firstLine="625"/>
        <w:rPr>
          <w:rFonts w:hint="eastAsia" w:ascii="仿宋" w:hAnsi="仿宋" w:eastAsia="仿宋" w:cs="仿宋"/>
          <w:spacing w:val="-2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2"/>
          <w:sz w:val="31"/>
          <w:szCs w:val="31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61" name="图表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D767BAB">
      <w:pPr>
        <w:pStyle w:val="3"/>
        <w:spacing w:line="269" w:lineRule="auto"/>
      </w:pPr>
    </w:p>
    <w:p w14:paraId="69A0D2E7">
      <w:pPr>
        <w:spacing w:before="101" w:line="223" w:lineRule="auto"/>
        <w:ind w:left="21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图</w:t>
      </w:r>
      <w:r>
        <w:rPr>
          <w:rFonts w:ascii="仿宋" w:hAnsi="仿宋" w:eastAsia="仿宋" w:cs="仿宋"/>
          <w:spacing w:val="-3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1.</w:t>
      </w:r>
      <w:r>
        <w:rPr>
          <w:rFonts w:ascii="仿宋" w:hAnsi="仿宋" w:eastAsia="仿宋" w:cs="仿宋"/>
          <w:spacing w:val="3"/>
          <w:sz w:val="31"/>
          <w:szCs w:val="31"/>
        </w:rPr>
        <w:t>收入预算图（可以饼图列示）</w:t>
      </w:r>
    </w:p>
    <w:p w14:paraId="63B1574A">
      <w:pPr>
        <w:pStyle w:val="3"/>
        <w:spacing w:line="351" w:lineRule="auto"/>
      </w:pPr>
    </w:p>
    <w:p w14:paraId="4748FDF0">
      <w:pPr>
        <w:pStyle w:val="3"/>
        <w:spacing w:line="351" w:lineRule="auto"/>
      </w:pPr>
    </w:p>
    <w:p w14:paraId="3555A064">
      <w:pPr>
        <w:spacing w:before="101" w:line="226" w:lineRule="auto"/>
        <w:ind w:left="642"/>
        <w:outlineLvl w:val="2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8"/>
          <w:sz w:val="31"/>
          <w:szCs w:val="31"/>
          <w:highlight w:val="none"/>
        </w:rPr>
        <w:t>三、支出预算情况说明</w:t>
      </w:r>
    </w:p>
    <w:p w14:paraId="0C2753B4">
      <w:pPr>
        <w:spacing w:before="229" w:line="221" w:lineRule="auto"/>
        <w:ind w:left="635"/>
        <w:rPr>
          <w:rFonts w:ascii="仿宋" w:hAnsi="仿宋" w:eastAsia="仿宋" w:cs="仿宋"/>
          <w:spacing w:val="6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>内蒙古河套灌区水利发展中心乌兰布和分中心 2026</w:t>
      </w:r>
      <w:r>
        <w:rPr>
          <w:rFonts w:ascii="仿宋" w:hAnsi="仿宋" w:eastAsia="仿宋" w:cs="仿宋"/>
          <w:spacing w:val="6"/>
          <w:sz w:val="31"/>
          <w:szCs w:val="31"/>
        </w:rPr>
        <w:t>年度支出预算合计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万元，其中：</w:t>
      </w:r>
    </w:p>
    <w:p w14:paraId="1872D3E8">
      <w:pPr>
        <w:spacing w:before="229" w:line="221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基本支出</w:t>
      </w:r>
      <w:r>
        <w:rPr>
          <w:rFonts w:ascii="仿宋" w:hAnsi="仿宋" w:eastAsia="仿宋" w:cs="仿宋"/>
          <w:spacing w:val="-1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4059.24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万元，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95.96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%；</w:t>
      </w:r>
    </w:p>
    <w:p w14:paraId="48903785">
      <w:pPr>
        <w:spacing w:before="227" w:line="222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项目支出</w:t>
      </w:r>
      <w:r>
        <w:rPr>
          <w:rFonts w:ascii="仿宋" w:hAnsi="仿宋" w:eastAsia="仿宋" w:cs="仿宋"/>
          <w:spacing w:val="-1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171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4.04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%；</w:t>
      </w:r>
    </w:p>
    <w:p w14:paraId="2B3D8DC3">
      <w:pPr>
        <w:spacing w:before="226" w:line="221" w:lineRule="auto"/>
        <w:ind w:left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事业单位经营支出</w:t>
      </w:r>
      <w:r>
        <w:rPr>
          <w:rFonts w:ascii="仿宋" w:hAnsi="仿宋" w:eastAsia="仿宋" w:cs="仿宋"/>
          <w:spacing w:val="-1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%；</w:t>
      </w:r>
    </w:p>
    <w:p w14:paraId="1E58FC83">
      <w:pPr>
        <w:spacing w:before="229" w:line="222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上缴上级支出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占</w:t>
      </w:r>
      <w:r>
        <w:rPr>
          <w:rFonts w:ascii="仿宋" w:hAnsi="仿宋" w:eastAsia="仿宋" w:cs="仿宋"/>
          <w:spacing w:val="-1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-1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%；</w:t>
      </w:r>
    </w:p>
    <w:p w14:paraId="62133037">
      <w:pPr>
        <w:spacing w:before="226" w:line="221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对附属单位补助支出</w:t>
      </w:r>
      <w:r>
        <w:rPr>
          <w:rFonts w:ascii="仿宋" w:hAnsi="仿宋" w:eastAsia="仿宋" w:cs="仿宋"/>
          <w:spacing w:val="-1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占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%。</w:t>
      </w:r>
    </w:p>
    <w:p w14:paraId="461CDF90">
      <w:pPr>
        <w:pStyle w:val="3"/>
        <w:spacing w:line="266" w:lineRule="auto"/>
      </w:pPr>
    </w:p>
    <w:p w14:paraId="4B00B218">
      <w:pPr>
        <w:pStyle w:val="3"/>
        <w:spacing w:line="266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44F36B6">
      <w:pPr>
        <w:spacing w:before="101" w:line="223" w:lineRule="auto"/>
        <w:ind w:left="22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图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2.</w:t>
      </w:r>
      <w:r>
        <w:rPr>
          <w:rFonts w:ascii="仿宋" w:hAnsi="仿宋" w:eastAsia="仿宋" w:cs="仿宋"/>
          <w:spacing w:val="4"/>
          <w:sz w:val="31"/>
          <w:szCs w:val="31"/>
        </w:rPr>
        <w:t>支出预算图（可以饼图列示）</w:t>
      </w:r>
    </w:p>
    <w:p w14:paraId="1F749EA7">
      <w:pPr>
        <w:pStyle w:val="3"/>
        <w:spacing w:line="271" w:lineRule="auto"/>
      </w:pPr>
    </w:p>
    <w:p w14:paraId="7BD0A972">
      <w:pPr>
        <w:pStyle w:val="3"/>
        <w:spacing w:line="271" w:lineRule="auto"/>
      </w:pPr>
    </w:p>
    <w:p w14:paraId="434C6B2E">
      <w:pPr>
        <w:pStyle w:val="3"/>
        <w:spacing w:line="272" w:lineRule="auto"/>
      </w:pPr>
    </w:p>
    <w:p w14:paraId="5AA282C0">
      <w:pPr>
        <w:spacing w:before="101" w:line="226" w:lineRule="auto"/>
        <w:ind w:left="65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四、财政拨款收支预算总体情况说明</w:t>
      </w:r>
    </w:p>
    <w:p w14:paraId="52608C00">
      <w:pPr>
        <w:spacing w:before="228" w:line="290" w:lineRule="auto"/>
        <w:ind w:left="7" w:right="91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10"/>
          <w:sz w:val="31"/>
          <w:szCs w:val="31"/>
        </w:rPr>
        <w:t>财政拨款收、支总预算</w:t>
      </w:r>
      <w:r>
        <w:rPr>
          <w:rFonts w:ascii="仿宋" w:hAnsi="仿宋" w:eastAsia="仿宋" w:cs="仿宋"/>
          <w:spacing w:val="-1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8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8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万元。</w:t>
      </w:r>
      <w:r>
        <w:rPr>
          <w:rFonts w:ascii="仿宋" w:hAnsi="仿宋" w:eastAsia="仿宋" w:cs="仿宋"/>
          <w:spacing w:val="5"/>
          <w:sz w:val="31"/>
          <w:szCs w:val="31"/>
        </w:rPr>
        <w:t>与上年相比，财政拨款收、支总计各增加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106.13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万元，增</w:t>
      </w:r>
      <w:r>
        <w:rPr>
          <w:rFonts w:ascii="仿宋" w:hAnsi="仿宋" w:eastAsia="仿宋" w:cs="仿宋"/>
          <w:spacing w:val="1"/>
          <w:sz w:val="31"/>
          <w:szCs w:val="31"/>
        </w:rPr>
        <w:t>长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"/>
          <w:sz w:val="31"/>
          <w:szCs w:val="31"/>
          <w:u w:val="single" w:color="auto"/>
          <w:lang w:val="en-US" w:eastAsia="zh-CN"/>
        </w:rPr>
        <w:t>2.57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%。主要原因是</w:t>
      </w:r>
      <w:r>
        <w:rPr>
          <w:rFonts w:ascii="仿宋" w:hAnsi="仿宋" w:eastAsia="仿宋" w:cs="仿宋"/>
          <w:spacing w:val="-103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2025年度新进人员28人，于2026年纳入预算，职工实施职级与职务正常晋升，工资、保险整体待遇上调等原因导致测算基数较大，因此2026年一般公共预算拨款收入增加。</w:t>
      </w:r>
    </w:p>
    <w:p w14:paraId="1024B73A">
      <w:pPr>
        <w:spacing w:before="1" w:line="226" w:lineRule="auto"/>
        <w:ind w:left="64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五、一般公共预算支出预算情况说明</w:t>
      </w:r>
    </w:p>
    <w:p w14:paraId="1A7920E3">
      <w:pPr>
        <w:spacing w:before="231" w:line="312" w:lineRule="auto"/>
        <w:ind w:left="6" w:firstLine="62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-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-3"/>
          <w:sz w:val="31"/>
          <w:szCs w:val="31"/>
        </w:rPr>
        <w:t>一般公共预算财政拨款支出预算</w:t>
      </w:r>
      <w:r>
        <w:rPr>
          <w:rFonts w:ascii="仿宋" w:hAnsi="仿宋" w:eastAsia="仿宋" w:cs="仿宋"/>
          <w:spacing w:val="-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万</w:t>
      </w:r>
      <w:r>
        <w:rPr>
          <w:rFonts w:ascii="仿宋" w:hAnsi="仿宋" w:eastAsia="仿宋" w:cs="仿宋"/>
          <w:spacing w:val="9"/>
          <w:sz w:val="31"/>
          <w:szCs w:val="31"/>
        </w:rPr>
        <w:t>元，与上年相比增加</w:t>
      </w:r>
      <w:r>
        <w:rPr>
          <w:rFonts w:ascii="仿宋" w:hAnsi="仿宋" w:eastAsia="仿宋" w:cs="仿宋"/>
          <w:spacing w:val="9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9"/>
          <w:sz w:val="31"/>
          <w:szCs w:val="31"/>
          <w:u w:val="single" w:color="auto"/>
          <w:lang w:val="en-US" w:eastAsia="zh-CN"/>
        </w:rPr>
        <w:t>106.13</w:t>
      </w:r>
      <w:r>
        <w:rPr>
          <w:rFonts w:ascii="仿宋" w:hAnsi="仿宋" w:eastAsia="仿宋" w:cs="仿宋"/>
          <w:spacing w:val="9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万元，增长</w:t>
      </w:r>
      <w:r>
        <w:rPr>
          <w:rFonts w:ascii="仿宋" w:hAnsi="仿宋" w:eastAsia="仿宋" w:cs="仿宋"/>
          <w:spacing w:val="8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8"/>
          <w:sz w:val="31"/>
          <w:szCs w:val="31"/>
          <w:u w:val="single" w:color="auto"/>
          <w:lang w:val="en-US" w:eastAsia="zh-CN"/>
        </w:rPr>
        <w:t>2.57</w:t>
      </w:r>
      <w:r>
        <w:rPr>
          <w:rFonts w:ascii="仿宋" w:hAnsi="仿宋" w:eastAsia="仿宋" w:cs="仿宋"/>
          <w:spacing w:val="8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%。</w:t>
      </w:r>
      <w:r>
        <w:rPr>
          <w:rFonts w:ascii="仿宋" w:hAnsi="仿宋" w:eastAsia="仿宋" w:cs="仿宋"/>
          <w:spacing w:val="5"/>
          <w:sz w:val="31"/>
          <w:szCs w:val="31"/>
        </w:rPr>
        <w:t>具体情况如下：</w:t>
      </w:r>
    </w:p>
    <w:p w14:paraId="1A1414F7">
      <w:pPr>
        <w:pStyle w:val="3"/>
        <w:tabs>
          <w:tab w:val="left" w:pos="4275"/>
        </w:tabs>
        <w:spacing w:after="0" w:line="60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社会保障就业支出</w:t>
      </w:r>
    </w:p>
    <w:p w14:paraId="03DF6327">
      <w:pPr>
        <w:pStyle w:val="3"/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社会保障就业支出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年初预算数为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573.31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121.06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万元。其中：</w:t>
      </w:r>
    </w:p>
    <w:p w14:paraId="125D3FB5">
      <w:pPr>
        <w:pStyle w:val="3"/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事业单位离退休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228.88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152.64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降低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乌兰布和分中心2025年退休人员较上年减少，新增去世人员，13年、15年生活补助移出预算，因此2025年退休预算较上年减少。</w:t>
      </w:r>
    </w:p>
    <w:p w14:paraId="59B01020">
      <w:pPr>
        <w:pStyle w:val="3"/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机关事业单位基本养老保险缴费支出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328.81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30.14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10.09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2025年实施职级与职务正常晋升，增资等原因导致测算基数较大，并且2025年新进人员28人于2026年加入预算测算依据，社保基数调整等，因此2026年养老保险缴费支出增加。</w:t>
      </w:r>
    </w:p>
    <w:p w14:paraId="24B1FCAF">
      <w:pPr>
        <w:pStyle w:val="3"/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3.其他社会保障和就业支出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15.62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1.43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10.08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2025年实施职级与职务正常晋升，增资等原因导致测算基数较大，并且2025年新进人员28人于2026年加入预算测算依据，社保基数调整等，因此2026年相关支出预算增加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1F0CAB43">
      <w:pPr>
        <w:pStyle w:val="3"/>
        <w:tabs>
          <w:tab w:val="left" w:pos="4275"/>
        </w:tabs>
        <w:spacing w:after="0"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（二）公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卫生健康支出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（类）</w:t>
      </w:r>
    </w:p>
    <w:p w14:paraId="056EF22E">
      <w:pPr>
        <w:pStyle w:val="3"/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卫生健康支出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类年初预算数为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266.84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20.42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万元。其中：</w:t>
      </w:r>
    </w:p>
    <w:p w14:paraId="4864FD59">
      <w:pPr>
        <w:pStyle w:val="3"/>
        <w:numPr>
          <w:ilvl w:val="0"/>
          <w:numId w:val="1"/>
        </w:numPr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事业单位医疗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166.26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15.22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10.07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2025年实施职级与职务正常晋升，增资等原因导致测算基数较大，并且2025年新进人员28人于2026年加入预算测算依据，社保基数调整等，因此2026年事业单位医疗缴费支出增加。</w:t>
      </w:r>
    </w:p>
    <w:p w14:paraId="56315619">
      <w:pPr>
        <w:pStyle w:val="3"/>
        <w:numPr>
          <w:ilvl w:val="0"/>
          <w:numId w:val="1"/>
        </w:numPr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公务员医疗补助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100.59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5.21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5.46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2025年实施职级与职务正常晋升，增资等原因导致测算基数较大，并且2025年新进人员28人于2026年加入预算测算依据，社保基数调整等，因此2026年公务员医疗补助缴费支出增加。</w:t>
      </w:r>
    </w:p>
    <w:p w14:paraId="0EFFFCD1">
      <w:pPr>
        <w:pStyle w:val="3"/>
        <w:tabs>
          <w:tab w:val="left" w:pos="4275"/>
        </w:tabs>
        <w:spacing w:after="0"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（三）农林水支出</w:t>
      </w:r>
    </w:p>
    <w:p w14:paraId="3C6168D9">
      <w:pPr>
        <w:pStyle w:val="3"/>
        <w:tabs>
          <w:tab w:val="left" w:pos="4275"/>
        </w:tabs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农林水支出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类年初预算数为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3072.2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185.52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万元。其中：</w:t>
      </w:r>
    </w:p>
    <w:p w14:paraId="79B36ADF">
      <w:pPr>
        <w:pStyle w:val="3"/>
        <w:numPr>
          <w:ilvl w:val="0"/>
          <w:numId w:val="2"/>
        </w:numPr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水利行业业务管理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3072.2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185.52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6.43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。变动原因：是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2025年实施职级与职务正常晋升，增资等原因导致测算基数较大，并且2025年新进人员28人于2026年加入预算测算依据，社保基数调整等，因此2026年相关科目支出增加。</w:t>
      </w:r>
    </w:p>
    <w:p w14:paraId="04775D6E">
      <w:pPr>
        <w:pStyle w:val="3"/>
        <w:tabs>
          <w:tab w:val="left" w:pos="4275"/>
        </w:tabs>
        <w:spacing w:after="0" w:line="60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（四）住房保障支出</w:t>
      </w:r>
    </w:p>
    <w:p w14:paraId="2AB300BB">
      <w:pPr>
        <w:pStyle w:val="3"/>
        <w:tabs>
          <w:tab w:val="left" w:pos="4275"/>
        </w:tabs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住房保障支出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类年初预算数为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317.89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21.25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万元。其中：</w:t>
      </w:r>
    </w:p>
    <w:p w14:paraId="3CD7F1A9">
      <w:pPr>
        <w:pStyle w:val="3"/>
        <w:numPr>
          <w:ilvl w:val="0"/>
          <w:numId w:val="3"/>
        </w:numPr>
        <w:spacing w:after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住房公积金。年初预算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317.89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万元，与上年相比增加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21.25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万元，增长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7.16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%。变动原因：是2025年实施职级与职务正常晋升，增资等原因导致测算基数较大，并且2025年新进人员28人于2026年加入预算测算依据，社保基数调整等，因此2026年住房公积金支出增加。</w:t>
      </w:r>
    </w:p>
    <w:p w14:paraId="6BA4A674">
      <w:pPr>
        <w:spacing w:line="226" w:lineRule="auto"/>
        <w:ind w:left="65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六、一般公共预算基本支出预算情况说明</w:t>
      </w:r>
    </w:p>
    <w:p w14:paraId="53F3C6CD">
      <w:pPr>
        <w:spacing w:before="3" w:line="289" w:lineRule="auto"/>
        <w:ind w:left="21" w:right="315" w:firstLine="62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5"/>
          <w:sz w:val="31"/>
          <w:szCs w:val="31"/>
        </w:rPr>
        <w:t>一般公共预算财政拨款基本支出预算</w:t>
      </w:r>
      <w:r>
        <w:rPr>
          <w:rFonts w:ascii="仿宋" w:hAnsi="仿宋" w:eastAsia="仿宋" w:cs="仿宋"/>
          <w:spacing w:val="3"/>
          <w:sz w:val="31"/>
          <w:szCs w:val="31"/>
        </w:rPr>
        <w:t>万元，其中：</w:t>
      </w:r>
    </w:p>
    <w:p w14:paraId="14EE7519">
      <w:pPr>
        <w:spacing w:before="230" w:line="323" w:lineRule="auto"/>
        <w:ind w:left="3" w:right="218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（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一）人员经费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3824.89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0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万元</w:t>
      </w:r>
      <w:r>
        <w:rPr>
          <w:rFonts w:ascii="仿宋" w:hAnsi="仿宋" w:eastAsia="仿宋" w:cs="仿宋"/>
          <w:spacing w:val="-8"/>
          <w:sz w:val="31"/>
          <w:szCs w:val="31"/>
        </w:rPr>
        <w:t>。主要包括：基本工资、津贴补贴、</w:t>
      </w:r>
      <w:r>
        <w:rPr>
          <w:rFonts w:ascii="仿宋" w:hAnsi="仿宋" w:eastAsia="仿宋" w:cs="仿宋"/>
          <w:spacing w:val="10"/>
          <w:sz w:val="31"/>
          <w:szCs w:val="31"/>
        </w:rPr>
        <w:t>奖金、伙食补助费、绩效工资、住房公积金、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医疗费、其他</w:t>
      </w:r>
      <w:r>
        <w:rPr>
          <w:rFonts w:ascii="仿宋" w:hAnsi="仿宋" w:eastAsia="仿宋" w:cs="仿宋"/>
          <w:spacing w:val="9"/>
          <w:sz w:val="31"/>
          <w:szCs w:val="31"/>
        </w:rPr>
        <w:t>工资</w:t>
      </w:r>
      <w:r>
        <w:rPr>
          <w:rFonts w:ascii="仿宋" w:hAnsi="仿宋" w:eastAsia="仿宋" w:cs="仿宋"/>
          <w:spacing w:val="12"/>
          <w:sz w:val="31"/>
          <w:szCs w:val="31"/>
        </w:rPr>
        <w:t>福利支出、离休费、退休费、抚恤金、奖励金、其他对个人和家</w:t>
      </w:r>
      <w:r>
        <w:rPr>
          <w:rFonts w:ascii="仿宋" w:hAnsi="仿宋" w:eastAsia="仿宋" w:cs="仿宋"/>
          <w:spacing w:val="5"/>
          <w:sz w:val="31"/>
          <w:szCs w:val="31"/>
        </w:rPr>
        <w:t>庭的补助等。</w:t>
      </w:r>
    </w:p>
    <w:p w14:paraId="20ED2598">
      <w:pPr>
        <w:spacing w:before="228" w:line="357" w:lineRule="auto"/>
        <w:ind w:right="155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（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二）公用经费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1"/>
          <w:sz w:val="31"/>
          <w:szCs w:val="31"/>
          <w:u w:val="single" w:color="auto"/>
          <w:lang w:val="en-US" w:eastAsia="zh-CN"/>
        </w:rPr>
        <w:t>234.35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万元</w:t>
      </w:r>
      <w:r>
        <w:rPr>
          <w:rFonts w:ascii="仿宋" w:hAnsi="仿宋" w:eastAsia="仿宋" w:cs="仿宋"/>
          <w:spacing w:val="1"/>
          <w:sz w:val="31"/>
          <w:szCs w:val="31"/>
        </w:rPr>
        <w:t>。主要包括：办公费、印刷费、咨</w:t>
      </w:r>
      <w:r>
        <w:rPr>
          <w:rFonts w:ascii="仿宋" w:hAnsi="仿宋" w:eastAsia="仿宋" w:cs="仿宋"/>
          <w:spacing w:val="10"/>
          <w:sz w:val="31"/>
          <w:szCs w:val="31"/>
        </w:rPr>
        <w:t>询费、手续费、水费、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电费、邮电费、取暖费、物业管理费</w:t>
      </w:r>
      <w:r>
        <w:rPr>
          <w:rFonts w:ascii="仿宋" w:hAnsi="仿宋" w:eastAsia="仿宋" w:cs="仿宋"/>
          <w:spacing w:val="9"/>
          <w:sz w:val="31"/>
          <w:szCs w:val="31"/>
        </w:rPr>
        <w:t>、差</w:t>
      </w:r>
      <w:r>
        <w:rPr>
          <w:rFonts w:ascii="仿宋" w:hAnsi="仿宋" w:eastAsia="仿宋" w:cs="仿宋"/>
          <w:spacing w:val="12"/>
          <w:sz w:val="31"/>
          <w:szCs w:val="31"/>
        </w:rPr>
        <w:t>旅费、维修（护）费、租赁费、会议费、培训费、公务接待费、专用材料费、劳务费、委托业务费、工会经费、福利费、公务用车运行维护费、其他交通费用、其他商品和服务支出、办公设备购置、专用设备购置、信息网络及软件购置更新、其他资本性支</w:t>
      </w:r>
      <w:r>
        <w:rPr>
          <w:rFonts w:ascii="仿宋" w:hAnsi="仿宋" w:eastAsia="仿宋" w:cs="仿宋"/>
          <w:spacing w:val="2"/>
          <w:sz w:val="31"/>
          <w:szCs w:val="31"/>
        </w:rPr>
        <w:t>出等。</w:t>
      </w:r>
    </w:p>
    <w:p w14:paraId="515EB1D0">
      <w:pPr>
        <w:spacing w:line="226" w:lineRule="auto"/>
        <w:ind w:left="63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七、一般公共预算“三公”经费支出预算情况说明</w:t>
      </w:r>
    </w:p>
    <w:p w14:paraId="7F56A9EB">
      <w:pPr>
        <w:spacing w:before="228" w:line="357" w:lineRule="auto"/>
        <w:ind w:left="8" w:right="155" w:firstLine="63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7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7"/>
          <w:sz w:val="31"/>
          <w:szCs w:val="31"/>
        </w:rPr>
        <w:t>一般公共预算拨款安排的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仿宋" w:hAnsi="仿宋" w:eastAsia="仿宋" w:cs="仿宋"/>
          <w:spacing w:val="7"/>
          <w:sz w:val="31"/>
          <w:szCs w:val="31"/>
        </w:rPr>
        <w:t>三</w:t>
      </w:r>
      <w:r>
        <w:rPr>
          <w:rFonts w:ascii="仿宋" w:hAnsi="仿宋" w:eastAsia="仿宋" w:cs="仿宋"/>
          <w:spacing w:val="6"/>
          <w:sz w:val="31"/>
          <w:szCs w:val="31"/>
        </w:rPr>
        <w:t>公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经费</w:t>
      </w:r>
      <w:r>
        <w:rPr>
          <w:rFonts w:ascii="仿宋" w:hAnsi="仿宋" w:eastAsia="仿宋" w:cs="仿宋"/>
          <w:spacing w:val="3"/>
          <w:sz w:val="31"/>
          <w:szCs w:val="31"/>
        </w:rPr>
        <w:t>预算支出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9"/>
          <w:sz w:val="31"/>
          <w:szCs w:val="31"/>
          <w:u w:val="single" w:color="auto"/>
          <w:lang w:val="en-US" w:eastAsia="zh-CN"/>
        </w:rPr>
        <w:t>34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万元，其中因公出国（境）费支出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4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元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，</w:t>
      </w:r>
      <w:r>
        <w:rPr>
          <w:rFonts w:ascii="仿宋" w:hAnsi="仿宋" w:eastAsia="仿宋" w:cs="仿宋"/>
          <w:spacing w:val="2"/>
          <w:sz w:val="31"/>
          <w:szCs w:val="31"/>
        </w:rPr>
        <w:t>占</w:t>
      </w:r>
      <w:r>
        <w:rPr>
          <w:rFonts w:ascii="仿宋" w:hAnsi="仿宋" w:eastAsia="仿宋" w:cs="仿宋"/>
          <w:spacing w:val="-1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%；公务用车购置及运行维护费支出</w:t>
      </w:r>
      <w:r>
        <w:rPr>
          <w:rFonts w:ascii="仿宋" w:hAnsi="仿宋" w:eastAsia="仿宋" w:cs="仿宋"/>
          <w:spacing w:val="3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32"/>
          <w:sz w:val="31"/>
          <w:szCs w:val="31"/>
          <w:u w:val="single" w:color="auto"/>
          <w:lang w:val="en-US" w:eastAsia="zh-CN"/>
        </w:rPr>
        <w:t>31.35</w:t>
      </w:r>
      <w:r>
        <w:rPr>
          <w:rFonts w:ascii="仿宋" w:hAnsi="仿宋" w:eastAsia="仿宋" w:cs="仿宋"/>
          <w:spacing w:val="3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占</w:t>
      </w:r>
      <w:r>
        <w:rPr>
          <w:rFonts w:ascii="仿宋" w:hAnsi="仿宋" w:eastAsia="仿宋" w:cs="仿宋"/>
          <w:spacing w:val="37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37"/>
          <w:sz w:val="31"/>
          <w:szCs w:val="31"/>
          <w:u w:val="single" w:color="auto"/>
          <w:lang w:val="en-US" w:eastAsia="zh-CN"/>
        </w:rPr>
        <w:t>92.2</w:t>
      </w:r>
      <w:r>
        <w:rPr>
          <w:rFonts w:ascii="仿宋" w:hAnsi="仿宋" w:eastAsia="仿宋" w:cs="仿宋"/>
          <w:spacing w:val="37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%；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公</w:t>
      </w:r>
      <w:r>
        <w:rPr>
          <w:rFonts w:ascii="仿宋" w:hAnsi="仿宋" w:eastAsia="仿宋" w:cs="仿宋"/>
          <w:spacing w:val="1"/>
          <w:sz w:val="31"/>
          <w:szCs w:val="31"/>
        </w:rPr>
        <w:t>务接待费支出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1"/>
          <w:sz w:val="31"/>
          <w:szCs w:val="31"/>
          <w:u w:val="single"/>
          <w:lang w:val="en-US" w:eastAsia="zh-CN"/>
        </w:rPr>
        <w:t>2.65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</w:rPr>
        <w:t>万元</w:t>
      </w:r>
      <w:r>
        <w:rPr>
          <w:rFonts w:ascii="仿宋" w:hAnsi="仿宋" w:eastAsia="仿宋" w:cs="仿宋"/>
          <w:spacing w:val="1"/>
          <w:sz w:val="31"/>
          <w:szCs w:val="31"/>
        </w:rPr>
        <w:t>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占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9"/>
          <w:sz w:val="31"/>
          <w:szCs w:val="31"/>
          <w:u w:val="single" w:color="auto"/>
          <w:lang w:val="en-US" w:eastAsia="zh-CN"/>
        </w:rPr>
        <w:t>7.8</w:t>
      </w:r>
      <w:r>
        <w:rPr>
          <w:rFonts w:ascii="仿宋" w:hAnsi="仿宋" w:eastAsia="仿宋" w:cs="仿宋"/>
          <w:spacing w:val="19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%。具体情况如下：</w:t>
      </w:r>
    </w:p>
    <w:p w14:paraId="02CD2E95">
      <w:pPr>
        <w:spacing w:before="2" w:line="357" w:lineRule="auto"/>
        <w:ind w:left="35" w:right="243" w:firstLine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一般公共预算拨款安排的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仿宋" w:hAnsi="仿宋" w:eastAsia="仿宋" w:cs="仿宋"/>
          <w:spacing w:val="1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仿宋" w:hAnsi="仿宋" w:eastAsia="仿宋" w:cs="仿宋"/>
          <w:spacing w:val="1"/>
          <w:sz w:val="31"/>
          <w:szCs w:val="31"/>
        </w:rPr>
        <w:t>经费预算支出</w:t>
      </w:r>
      <w:r>
        <w:rPr>
          <w:rFonts w:ascii="仿宋" w:hAnsi="仿宋" w:eastAsia="仿宋" w:cs="仿宋"/>
          <w:spacing w:val="54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4"/>
          <w:sz w:val="31"/>
          <w:szCs w:val="31"/>
          <w:u w:val="single" w:color="auto"/>
          <w:lang w:val="en-US" w:eastAsia="zh-CN"/>
        </w:rPr>
        <w:t>34</w:t>
      </w:r>
      <w:r>
        <w:rPr>
          <w:rFonts w:ascii="仿宋" w:hAnsi="仿宋" w:eastAsia="仿宋" w:cs="仿宋"/>
          <w:spacing w:val="54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</w:t>
      </w:r>
      <w:r>
        <w:rPr>
          <w:rFonts w:ascii="仿宋" w:hAnsi="仿宋" w:eastAsia="仿宋" w:cs="仿宋"/>
          <w:sz w:val="31"/>
          <w:szCs w:val="31"/>
        </w:rPr>
        <w:t>，比上</w:t>
      </w:r>
      <w:r>
        <w:rPr>
          <w:rFonts w:ascii="仿宋" w:hAnsi="仿宋" w:eastAsia="仿宋" w:cs="仿宋"/>
          <w:spacing w:val="2"/>
          <w:sz w:val="31"/>
          <w:szCs w:val="31"/>
        </w:rPr>
        <w:t>年预算增加（减少）</w:t>
      </w:r>
      <w:r>
        <w:rPr>
          <w:rFonts w:ascii="仿宋" w:hAnsi="仿宋" w:eastAsia="仿宋" w:cs="仿宋"/>
          <w:spacing w:val="7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71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71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%；其中：</w:t>
      </w:r>
    </w:p>
    <w:p w14:paraId="71626C9F">
      <w:pPr>
        <w:spacing w:line="290" w:lineRule="auto"/>
        <w:ind w:left="11" w:right="155" w:firstLine="671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>．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因公出国（境）费预算支出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7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7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万元，</w:t>
      </w:r>
      <w:r>
        <w:rPr>
          <w:rFonts w:ascii="仿宋" w:hAnsi="仿宋" w:eastAsia="仿宋" w:cs="仿宋"/>
          <w:spacing w:val="-8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比上年预算增加</w:t>
      </w:r>
      <w:r>
        <w:rPr>
          <w:rFonts w:ascii="仿宋" w:hAnsi="仿宋" w:eastAsia="仿宋" w:cs="仿宋"/>
          <w:spacing w:val="-1"/>
          <w:sz w:val="31"/>
          <w:szCs w:val="31"/>
        </w:rPr>
        <w:t>（减少）</w:t>
      </w:r>
      <w:r>
        <w:rPr>
          <w:rFonts w:ascii="仿宋" w:hAnsi="仿宋" w:eastAsia="仿宋" w:cs="仿宋"/>
          <w:spacing w:val="14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1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万元，主要原因</w:t>
      </w:r>
      <w:r>
        <w:rPr>
          <w:rFonts w:hint="eastAsia" w:ascii="仿宋" w:hAnsi="仿宋" w:eastAsia="仿宋" w:cs="仿宋"/>
          <w:spacing w:val="-1"/>
          <w:sz w:val="31"/>
          <w:szCs w:val="31"/>
          <w:lang w:val="en-US" w:eastAsia="zh-CN"/>
        </w:rPr>
        <w:t>本单位无此项支出。</w:t>
      </w:r>
    </w:p>
    <w:p w14:paraId="62E9B4F8">
      <w:pPr>
        <w:spacing w:before="225" w:line="220" w:lineRule="auto"/>
        <w:ind w:left="63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仿宋" w:hAnsi="仿宋" w:eastAsia="仿宋" w:cs="仿宋"/>
          <w:spacing w:val="7"/>
          <w:sz w:val="31"/>
          <w:szCs w:val="31"/>
        </w:rPr>
        <w:t>．公务用车购置及运行维护费预算支出</w:t>
      </w:r>
      <w:r>
        <w:rPr>
          <w:rFonts w:ascii="仿宋" w:hAnsi="仿宋" w:eastAsia="仿宋" w:cs="仿宋"/>
          <w:spacing w:val="-1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17"/>
          <w:sz w:val="31"/>
          <w:szCs w:val="31"/>
          <w:u w:val="single" w:color="auto"/>
          <w:lang w:val="en-US" w:eastAsia="zh-CN"/>
        </w:rPr>
        <w:t>31.35</w:t>
      </w:r>
      <w:r>
        <w:rPr>
          <w:rFonts w:ascii="仿宋" w:hAnsi="仿宋" w:eastAsia="仿宋" w:cs="仿宋"/>
          <w:spacing w:val="17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万元。其中：</w:t>
      </w:r>
    </w:p>
    <w:p w14:paraId="1349D943">
      <w:pPr>
        <w:spacing w:before="231" w:line="220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）公务用车购置预算支出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16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</w:t>
      </w:r>
      <w:r>
        <w:rPr>
          <w:rFonts w:ascii="仿宋" w:hAnsi="仿宋" w:eastAsia="仿宋" w:cs="仿宋"/>
          <w:spacing w:val="-8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比上年预算增加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16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万元，主要原因</w:t>
      </w:r>
      <w:r>
        <w:rPr>
          <w:rFonts w:hint="eastAsia" w:ascii="仿宋" w:hAnsi="仿宋" w:eastAsia="仿宋" w:cs="仿宋"/>
          <w:spacing w:val="-1"/>
          <w:sz w:val="31"/>
          <w:szCs w:val="31"/>
          <w:lang w:val="en-US" w:eastAsia="zh-CN"/>
        </w:rPr>
        <w:t>本单位无此项支出。</w:t>
      </w:r>
    </w:p>
    <w:p w14:paraId="09D16A3B">
      <w:pPr>
        <w:spacing w:before="1" w:line="357" w:lineRule="auto"/>
        <w:ind w:right="474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9"/>
          <w:sz w:val="31"/>
          <w:szCs w:val="31"/>
        </w:rPr>
        <w:t>）公务用车运行维护费预算支出</w:t>
      </w:r>
      <w:r>
        <w:rPr>
          <w:rFonts w:ascii="仿宋" w:hAnsi="仿宋" w:eastAsia="仿宋" w:cs="仿宋"/>
          <w:spacing w:val="-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71"/>
          <w:sz w:val="31"/>
          <w:szCs w:val="31"/>
          <w:u w:val="single" w:color="auto"/>
          <w:lang w:val="en-US" w:eastAsia="zh-CN"/>
        </w:rPr>
        <w:t>31.35</w:t>
      </w:r>
      <w:r>
        <w:rPr>
          <w:rFonts w:ascii="仿宋" w:hAnsi="仿宋" w:eastAsia="仿宋" w:cs="仿宋"/>
          <w:spacing w:val="71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万元，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比上年预算增</w:t>
      </w:r>
      <w:r>
        <w:rPr>
          <w:rFonts w:ascii="仿宋" w:hAnsi="仿宋" w:eastAsia="仿宋" w:cs="仿宋"/>
          <w:spacing w:val="1"/>
          <w:sz w:val="31"/>
          <w:szCs w:val="31"/>
        </w:rPr>
        <w:t>加</w:t>
      </w:r>
      <w:r>
        <w:rPr>
          <w:rFonts w:ascii="仿宋" w:hAnsi="仿宋" w:eastAsia="仿宋" w:cs="仿宋"/>
          <w:spacing w:val="22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2"/>
          <w:sz w:val="31"/>
          <w:szCs w:val="31"/>
          <w:u w:val="single" w:color="auto"/>
          <w:lang w:val="en-US" w:eastAsia="zh-CN"/>
        </w:rPr>
        <w:t>6.85</w:t>
      </w:r>
      <w:r>
        <w:rPr>
          <w:rFonts w:ascii="仿宋" w:hAnsi="仿宋" w:eastAsia="仿宋" w:cs="仿宋"/>
          <w:spacing w:val="22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万元，主要原因</w:t>
      </w:r>
      <w:r>
        <w:rPr>
          <w:rFonts w:hint="eastAsia" w:ascii="仿宋" w:hAnsi="仿宋" w:eastAsia="仿宋" w:cs="仿宋"/>
          <w:spacing w:val="-1"/>
          <w:sz w:val="31"/>
          <w:szCs w:val="31"/>
          <w:lang w:val="en-US" w:eastAsia="zh-CN"/>
        </w:rPr>
        <w:t>根据单位实际运行情况，本年度增加预算支出。</w:t>
      </w:r>
    </w:p>
    <w:p w14:paraId="26BC1563">
      <w:pPr>
        <w:spacing w:before="1" w:line="357" w:lineRule="auto"/>
        <w:ind w:right="474" w:firstLine="646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4"/>
          <w:sz w:val="31"/>
          <w:szCs w:val="31"/>
        </w:rPr>
        <w:t>．公务接待费预算支出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10"/>
          <w:sz w:val="31"/>
          <w:szCs w:val="31"/>
          <w:u w:val="single" w:color="auto"/>
          <w:lang w:val="en-US" w:eastAsia="zh-CN"/>
        </w:rPr>
        <w:t>2.65</w:t>
      </w:r>
      <w:r>
        <w:rPr>
          <w:rFonts w:ascii="仿宋" w:hAnsi="仿宋" w:eastAsia="仿宋" w:cs="仿宋"/>
          <w:spacing w:val="10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比上年预算</w:t>
      </w:r>
      <w:r>
        <w:rPr>
          <w:rFonts w:ascii="仿宋" w:hAnsi="仿宋" w:eastAsia="仿宋" w:cs="仿宋"/>
          <w:spacing w:val="-1"/>
          <w:sz w:val="31"/>
          <w:szCs w:val="31"/>
        </w:rPr>
        <w:t>减少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6"/>
          <w:sz w:val="31"/>
          <w:szCs w:val="31"/>
          <w:u w:val="single" w:color="auto"/>
          <w:lang w:val="en-US" w:eastAsia="zh-CN"/>
        </w:rPr>
        <w:t>6.85</w:t>
      </w:r>
      <w:r>
        <w:rPr>
          <w:rFonts w:ascii="仿宋" w:hAnsi="仿宋" w:eastAsia="仿宋" w:cs="仿宋"/>
          <w:spacing w:val="16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万元，主要原因</w:t>
      </w:r>
      <w:r>
        <w:rPr>
          <w:rFonts w:hint="eastAsia" w:ascii="仿宋" w:hAnsi="仿宋" w:eastAsia="仿宋" w:cs="仿宋"/>
          <w:spacing w:val="-1"/>
          <w:sz w:val="31"/>
          <w:szCs w:val="31"/>
          <w:lang w:val="en-US" w:eastAsia="zh-CN"/>
        </w:rPr>
        <w:t>根据单位实际运行情况，本年度减少预算支出。</w:t>
      </w:r>
    </w:p>
    <w:p w14:paraId="682E5360">
      <w:pPr>
        <w:spacing w:before="225" w:line="226" w:lineRule="auto"/>
        <w:ind w:left="646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八、政府性基金预算支出预算情况说明</w:t>
      </w:r>
    </w:p>
    <w:p w14:paraId="4F7B7FEA">
      <w:pPr>
        <w:spacing w:before="232" w:line="357" w:lineRule="auto"/>
        <w:ind w:left="32" w:right="474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3"/>
          <w:sz w:val="31"/>
          <w:szCs w:val="31"/>
        </w:rPr>
        <w:t>政府性基金支出预算支出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万元。与</w:t>
      </w:r>
      <w:r>
        <w:rPr>
          <w:rFonts w:ascii="仿宋" w:hAnsi="仿宋" w:eastAsia="仿宋" w:cs="仿宋"/>
          <w:spacing w:val="2"/>
          <w:sz w:val="31"/>
          <w:szCs w:val="31"/>
        </w:rPr>
        <w:t>上年相比增加（减少）</w:t>
      </w:r>
      <w:r>
        <w:rPr>
          <w:rFonts w:ascii="仿宋" w:hAnsi="仿宋" w:eastAsia="仿宋" w:cs="仿宋"/>
          <w:spacing w:val="83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83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8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%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。 主 要 原</w:t>
      </w:r>
      <w:r>
        <w:rPr>
          <w:rFonts w:ascii="仿宋" w:hAnsi="仿宋" w:eastAsia="仿宋" w:cs="仿宋"/>
          <w:spacing w:val="1"/>
          <w:sz w:val="31"/>
          <w:szCs w:val="31"/>
        </w:rPr>
        <w:t>因</w:t>
      </w:r>
      <w:r>
        <w:rPr>
          <w:rFonts w:ascii="仿宋" w:hAnsi="仿宋" w:eastAsia="仿宋" w:cs="仿宋"/>
          <w:spacing w:val="8"/>
          <w:sz w:val="31"/>
          <w:szCs w:val="31"/>
        </w:rPr>
        <w:t>本年无政府性基金预算支出</w:t>
      </w:r>
      <w:r>
        <w:rPr>
          <w:rFonts w:hint="eastAsia" w:eastAsia="仿宋_GB2312" w:cstheme="minorBidi"/>
          <w:sz w:val="32"/>
          <w:szCs w:val="32"/>
          <w:highlight w:val="none"/>
        </w:rPr>
        <w:t>。</w:t>
      </w:r>
    </w:p>
    <w:p w14:paraId="52458888">
      <w:pPr>
        <w:spacing w:line="226" w:lineRule="auto"/>
        <w:ind w:left="653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九、国有资本经营预算支出预算情况说明</w:t>
      </w:r>
    </w:p>
    <w:p w14:paraId="76698B67">
      <w:pPr>
        <w:spacing w:before="101" w:line="357" w:lineRule="auto"/>
        <w:ind w:left="7" w:right="74" w:firstLine="630"/>
        <w:jc w:val="both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2"/>
          <w:sz w:val="31"/>
          <w:szCs w:val="31"/>
        </w:rPr>
        <w:t>国有资本经营预算支出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万元。与</w:t>
      </w:r>
      <w:r>
        <w:rPr>
          <w:rFonts w:ascii="仿宋" w:hAnsi="仿宋" w:eastAsia="仿宋" w:cs="仿宋"/>
          <w:spacing w:val="4"/>
          <w:sz w:val="31"/>
          <w:szCs w:val="31"/>
        </w:rPr>
        <w:t>上年相比增加（减少）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万元，增长（减少）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%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。 主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要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原</w:t>
      </w:r>
      <w:r>
        <w:rPr>
          <w:rFonts w:ascii="仿宋" w:hAnsi="仿宋" w:eastAsia="仿宋" w:cs="仿宋"/>
          <w:spacing w:val="-20"/>
          <w:sz w:val="31"/>
          <w:szCs w:val="31"/>
        </w:rPr>
        <w:t>因</w:t>
      </w:r>
      <w:r>
        <w:rPr>
          <w:rFonts w:ascii="仿宋" w:hAnsi="仿宋" w:eastAsia="仿宋" w:cs="仿宋"/>
          <w:spacing w:val="6"/>
          <w:sz w:val="31"/>
          <w:szCs w:val="31"/>
        </w:rPr>
        <w:t>本年</w:t>
      </w:r>
      <w:r>
        <w:rPr>
          <w:rFonts w:ascii="仿宋" w:hAnsi="仿宋" w:eastAsia="仿宋" w:cs="仿宋"/>
          <w:spacing w:val="5"/>
          <w:sz w:val="31"/>
          <w:szCs w:val="31"/>
        </w:rPr>
        <w:t>无国有资本经营预算支出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。</w:t>
      </w:r>
    </w:p>
    <w:p w14:paraId="64762902">
      <w:pPr>
        <w:spacing w:line="226" w:lineRule="auto"/>
        <w:ind w:left="64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十、项目支出预算情况说明</w:t>
      </w:r>
    </w:p>
    <w:p w14:paraId="0FB50466">
      <w:pPr>
        <w:spacing w:before="231" w:line="357" w:lineRule="auto"/>
        <w:ind w:right="74" w:firstLine="63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8"/>
          <w:sz w:val="31"/>
          <w:szCs w:val="31"/>
        </w:rPr>
        <w:t>预算安排项目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18"/>
          <w:sz w:val="31"/>
          <w:szCs w:val="31"/>
          <w:u w:val="single" w:color="auto"/>
          <w:lang w:val="en-US" w:eastAsia="zh-CN"/>
        </w:rPr>
        <w:t>1</w:t>
      </w:r>
      <w:r>
        <w:rPr>
          <w:rFonts w:ascii="仿宋" w:hAnsi="仿宋" w:eastAsia="仿宋" w:cs="仿宋"/>
          <w:spacing w:val="18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个，项目预算总</w:t>
      </w:r>
      <w:r>
        <w:rPr>
          <w:rFonts w:ascii="仿宋" w:hAnsi="仿宋" w:eastAsia="仿宋" w:cs="仿宋"/>
          <w:spacing w:val="2"/>
          <w:sz w:val="31"/>
          <w:szCs w:val="31"/>
        </w:rPr>
        <w:t>金额</w:t>
      </w:r>
      <w:r>
        <w:rPr>
          <w:rFonts w:ascii="仿宋" w:hAnsi="仿宋" w:eastAsia="仿宋" w:cs="仿宋"/>
          <w:spacing w:val="-1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5"/>
          <w:sz w:val="31"/>
          <w:szCs w:val="31"/>
          <w:u w:val="single" w:color="auto"/>
          <w:lang w:val="en-US" w:eastAsia="zh-CN"/>
        </w:rPr>
        <w:t>171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万元。其中，财政本年拨款金额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171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万元，财政拨款结转结</w:t>
      </w:r>
      <w:r>
        <w:rPr>
          <w:rFonts w:ascii="仿宋" w:hAnsi="仿宋" w:eastAsia="仿宋" w:cs="仿宋"/>
          <w:spacing w:val="4"/>
          <w:sz w:val="31"/>
          <w:szCs w:val="31"/>
        </w:rPr>
        <w:t>余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9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9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万元，财政专户管理资金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万元，单位资金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20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万元。</w:t>
      </w:r>
    </w:p>
    <w:p w14:paraId="69A61482">
      <w:pPr>
        <w:spacing w:line="226" w:lineRule="auto"/>
        <w:ind w:left="642"/>
        <w:outlineLvl w:val="2"/>
      </w:pPr>
      <w:r>
        <w:rPr>
          <w:rFonts w:ascii="黑体" w:hAnsi="黑体" w:eastAsia="黑体" w:cs="黑体"/>
          <w:spacing w:val="9"/>
          <w:sz w:val="31"/>
          <w:szCs w:val="31"/>
        </w:rPr>
        <w:t>十一、机构运行经费支出预算情况说明</w:t>
      </w:r>
    </w:p>
    <w:p w14:paraId="45DE9053">
      <w:pPr>
        <w:spacing w:before="101" w:line="357" w:lineRule="auto"/>
        <w:ind w:left="17" w:right="91" w:firstLine="634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2"/>
          <w:sz w:val="31"/>
          <w:szCs w:val="31"/>
        </w:rPr>
        <w:t>机构运行经费预算支出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5"/>
          <w:sz w:val="31"/>
          <w:szCs w:val="31"/>
          <w:u w:val="single" w:color="auto"/>
          <w:lang w:val="en-US" w:eastAsia="zh-CN"/>
        </w:rPr>
        <w:t>234.35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万元，与上</w:t>
      </w:r>
      <w:r>
        <w:rPr>
          <w:rFonts w:ascii="仿宋" w:hAnsi="仿宋" w:eastAsia="仿宋" w:cs="仿宋"/>
          <w:spacing w:val="11"/>
          <w:sz w:val="31"/>
          <w:szCs w:val="31"/>
        </w:rPr>
        <w:t>年相比增加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1"/>
          <w:sz w:val="31"/>
          <w:szCs w:val="31"/>
          <w:u w:val="single" w:color="auto"/>
          <w:lang w:val="en-US" w:eastAsia="zh-CN"/>
        </w:rPr>
        <w:t>10.6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万元，增长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1"/>
          <w:sz w:val="31"/>
          <w:szCs w:val="31"/>
          <w:u w:val="single" w:color="auto"/>
          <w:lang w:val="en-US" w:eastAsia="zh-CN"/>
        </w:rPr>
        <w:t>4.74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%。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主要原因</w:t>
      </w:r>
      <w:r>
        <w:rPr>
          <w:rFonts w:ascii="仿宋" w:hAnsi="仿宋" w:eastAsia="仿宋" w:cs="仿宋"/>
          <w:spacing w:val="-9"/>
          <w:sz w:val="31"/>
          <w:szCs w:val="31"/>
        </w:rPr>
        <w:t>是</w:t>
      </w:r>
      <w:r>
        <w:rPr>
          <w:rFonts w:hint="eastAsia" w:ascii="仿宋" w:hAnsi="仿宋" w:eastAsia="仿宋" w:cs="仿宋"/>
          <w:spacing w:val="-9"/>
          <w:sz w:val="31"/>
          <w:szCs w:val="31"/>
          <w:lang w:val="en-US" w:eastAsia="zh-CN"/>
        </w:rPr>
        <w:t>;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2025年新进人员28人于2026年加入预算测算依据。</w:t>
      </w:r>
    </w:p>
    <w:p w14:paraId="1C80EA35">
      <w:pPr>
        <w:spacing w:line="226" w:lineRule="auto"/>
        <w:ind w:left="65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十二、政府采购支出预算情况说明</w:t>
      </w:r>
    </w:p>
    <w:p w14:paraId="77B96152">
      <w:pPr>
        <w:spacing w:before="230" w:line="357" w:lineRule="auto"/>
        <w:ind w:left="13" w:right="48" w:firstLine="63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5"/>
          <w:sz w:val="31"/>
          <w:szCs w:val="31"/>
        </w:rPr>
        <w:t>政府采购支出预算总额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51.5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万元，</w:t>
      </w:r>
      <w:r>
        <w:rPr>
          <w:rFonts w:ascii="仿宋" w:hAnsi="仿宋" w:eastAsia="仿宋" w:cs="仿宋"/>
          <w:spacing w:val="2"/>
          <w:sz w:val="31"/>
          <w:szCs w:val="31"/>
        </w:rPr>
        <w:t>其中：拟采购货物支出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4"/>
          <w:sz w:val="31"/>
          <w:szCs w:val="31"/>
          <w:u w:val="single" w:color="auto"/>
          <w:lang w:val="en-US" w:eastAsia="zh-CN"/>
        </w:rPr>
        <w:t>32.83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万元、拟采购工程支</w:t>
      </w:r>
      <w:r>
        <w:rPr>
          <w:rFonts w:ascii="仿宋" w:hAnsi="仿宋" w:eastAsia="仿宋" w:cs="仿宋"/>
          <w:spacing w:val="1"/>
          <w:sz w:val="31"/>
          <w:szCs w:val="31"/>
        </w:rPr>
        <w:t>出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1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万元、拟</w:t>
      </w:r>
      <w:r>
        <w:rPr>
          <w:rFonts w:ascii="仿宋" w:hAnsi="仿宋" w:eastAsia="仿宋" w:cs="仿宋"/>
          <w:spacing w:val="3"/>
          <w:sz w:val="31"/>
          <w:szCs w:val="31"/>
        </w:rPr>
        <w:t>购买服务支出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11"/>
          <w:sz w:val="31"/>
          <w:szCs w:val="31"/>
          <w:u w:val="single" w:color="auto"/>
          <w:lang w:val="en-US" w:eastAsia="zh-CN"/>
        </w:rPr>
        <w:t>18.67</w:t>
      </w:r>
      <w:r>
        <w:rPr>
          <w:rFonts w:ascii="仿宋" w:hAnsi="仿宋" w:eastAsia="仿宋" w:cs="仿宋"/>
          <w:spacing w:val="11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万元。</w:t>
      </w:r>
    </w:p>
    <w:p w14:paraId="56EB4222">
      <w:pPr>
        <w:spacing w:before="1" w:line="226" w:lineRule="auto"/>
        <w:ind w:left="65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十三、国有资产占用情况说明</w:t>
      </w:r>
    </w:p>
    <w:p w14:paraId="4D736578">
      <w:pPr>
        <w:tabs>
          <w:tab w:val="left" w:pos="740"/>
          <w:tab w:val="left" w:pos="9039"/>
        </w:tabs>
        <w:spacing w:before="222" w:line="357" w:lineRule="auto"/>
        <w:ind w:firstLine="65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>内蒙古河套灌区水利发展中心乌兰布和分中心</w:t>
      </w:r>
      <w:r>
        <w:rPr>
          <w:rFonts w:ascii="仿宋" w:hAnsi="仿宋" w:eastAsia="仿宋" w:cs="仿宋"/>
          <w:spacing w:val="8"/>
          <w:sz w:val="31"/>
          <w:szCs w:val="31"/>
        </w:rPr>
        <w:t>共有车辆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0"/>
          <w:sz w:val="31"/>
          <w:szCs w:val="31"/>
          <w:u w:val="single" w:color="auto"/>
          <w:lang w:val="en-US" w:eastAsia="zh-CN"/>
        </w:rPr>
        <w:t>10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辆，其中，一般公务用车</w:t>
      </w:r>
      <w:r>
        <w:rPr>
          <w:rFonts w:hint="eastAsia" w:ascii="仿宋" w:hAnsi="仿宋" w:eastAsia="仿宋" w:cs="仿宋"/>
          <w:spacing w:val="8"/>
          <w:sz w:val="31"/>
          <w:szCs w:val="31"/>
          <w:u w:val="single"/>
          <w:lang w:val="en-US" w:eastAsia="zh-CN"/>
        </w:rPr>
        <w:t>10</w:t>
      </w:r>
      <w:r>
        <w:rPr>
          <w:rFonts w:ascii="仿宋" w:hAnsi="仿宋" w:eastAsia="仿宋" w:cs="仿宋"/>
          <w:spacing w:val="11"/>
          <w:sz w:val="31"/>
          <w:szCs w:val="31"/>
        </w:rPr>
        <w:t>辆、执法执勤用车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0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20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辆、特种专业技术用车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4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4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辆、业务用</w:t>
      </w:r>
      <w:r>
        <w:rPr>
          <w:rFonts w:hint="eastAsia" w:ascii="仿宋" w:hAnsi="仿宋" w:eastAsia="仿宋" w:cs="仿宋"/>
          <w:spacing w:val="11"/>
          <w:sz w:val="31"/>
          <w:szCs w:val="31"/>
          <w:lang w:val="en-US" w:eastAsia="zh-CN"/>
        </w:rPr>
        <w:t>车</w:t>
      </w:r>
      <w:r>
        <w:rPr>
          <w:rFonts w:hint="eastAsia" w:ascii="仿宋" w:hAnsi="仿宋" w:eastAsia="仿宋" w:cs="仿宋"/>
          <w:spacing w:val="11"/>
          <w:sz w:val="31"/>
          <w:szCs w:val="31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pacing w:val="11"/>
          <w:sz w:val="31"/>
          <w:szCs w:val="31"/>
          <w:lang w:val="en-US" w:eastAsia="zh-CN"/>
        </w:rPr>
        <w:t>辆</w:t>
      </w:r>
      <w:r>
        <w:rPr>
          <w:rFonts w:ascii="仿宋" w:hAnsi="仿宋" w:eastAsia="仿宋" w:cs="仿宋"/>
          <w:spacing w:val="1"/>
          <w:sz w:val="31"/>
          <w:szCs w:val="31"/>
        </w:rPr>
        <w:t>、其他用车</w:t>
      </w:r>
      <w:r>
        <w:rPr>
          <w:rFonts w:ascii="仿宋" w:hAnsi="仿宋" w:eastAsia="仿宋" w:cs="仿宋"/>
          <w:spacing w:val="-155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45"/>
          <w:sz w:val="31"/>
          <w:szCs w:val="31"/>
          <w:u w:val="single" w:color="auto"/>
          <w:lang w:val="en-US" w:eastAsia="zh-CN"/>
        </w:rPr>
        <w:t>10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辆等。单价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万元（含）以上的通用设备</w:t>
      </w:r>
      <w:r>
        <w:rPr>
          <w:rFonts w:hint="eastAsia" w:ascii="仿宋" w:hAnsi="仿宋" w:eastAsia="仿宋" w:cs="仿宋"/>
          <w:spacing w:val="1"/>
          <w:sz w:val="31"/>
          <w:szCs w:val="31"/>
          <w:u w:val="single"/>
          <w:lang w:val="en-US" w:eastAsia="zh-CN"/>
        </w:rPr>
        <w:t xml:space="preserve"> 0 </w:t>
      </w:r>
      <w:r>
        <w:rPr>
          <w:rFonts w:ascii="仿宋" w:hAnsi="仿宋" w:eastAsia="仿宋" w:cs="仿宋"/>
          <w:spacing w:val="-15"/>
          <w:sz w:val="31"/>
          <w:szCs w:val="31"/>
        </w:rPr>
        <w:t>台（套</w:t>
      </w:r>
      <w:r>
        <w:rPr>
          <w:rFonts w:ascii="仿宋" w:hAnsi="仿宋" w:eastAsia="仿宋" w:cs="仿宋"/>
          <w:spacing w:val="21"/>
          <w:sz w:val="31"/>
          <w:szCs w:val="31"/>
        </w:rPr>
        <w:t>），</w:t>
      </w:r>
      <w:r>
        <w:rPr>
          <w:rFonts w:ascii="仿宋" w:hAnsi="仿宋" w:eastAsia="仿宋" w:cs="仿宋"/>
          <w:spacing w:val="-15"/>
          <w:sz w:val="31"/>
          <w:szCs w:val="31"/>
        </w:rPr>
        <w:t>单价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>100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万元（含）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以上的专用设备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0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台（套）。</w:t>
      </w:r>
    </w:p>
    <w:p w14:paraId="249F5689">
      <w:pPr>
        <w:spacing w:line="226" w:lineRule="auto"/>
        <w:ind w:left="65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十四、项目绩效目标情况说明</w:t>
      </w:r>
    </w:p>
    <w:p w14:paraId="7C0C1E6A">
      <w:pPr>
        <w:spacing w:before="220" w:line="358" w:lineRule="auto"/>
        <w:ind w:left="10" w:right="91" w:firstLine="640"/>
        <w:jc w:val="both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10" w:h="16840"/>
          <w:pgMar w:top="1431" w:right="1539" w:bottom="1174" w:left="1240" w:header="0" w:footer="801" w:gutter="0"/>
          <w:pgNumType w:fmt="decimal"/>
          <w:cols w:space="720" w:num="1"/>
        </w:sect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内蒙古河套灌区水利发展中心乌兰布和分中心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2026年度</w:t>
      </w:r>
      <w:r>
        <w:rPr>
          <w:rFonts w:ascii="仿宋" w:hAnsi="仿宋" w:eastAsia="仿宋" w:cs="仿宋"/>
          <w:spacing w:val="3"/>
          <w:sz w:val="31"/>
          <w:szCs w:val="31"/>
        </w:rPr>
        <w:t>填报绩效目标的预算项目</w:t>
      </w:r>
      <w:r>
        <w:rPr>
          <w:rFonts w:ascii="仿宋" w:hAnsi="仿宋" w:eastAsia="仿宋" w:cs="仿宋"/>
          <w:spacing w:val="-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5"/>
          <w:sz w:val="31"/>
          <w:szCs w:val="31"/>
          <w:u w:val="single" w:color="auto"/>
          <w:lang w:val="en-US" w:eastAsia="zh-CN"/>
        </w:rPr>
        <w:t>22</w:t>
      </w:r>
      <w:r>
        <w:rPr>
          <w:rFonts w:ascii="仿宋" w:hAnsi="仿宋" w:eastAsia="仿宋" w:cs="仿宋"/>
          <w:spacing w:val="25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个，公开</w:t>
      </w:r>
      <w:r>
        <w:rPr>
          <w:rFonts w:ascii="仿宋" w:hAnsi="仿宋" w:eastAsia="仿宋" w:cs="仿宋"/>
          <w:spacing w:val="8"/>
          <w:sz w:val="31"/>
          <w:szCs w:val="31"/>
        </w:rPr>
        <w:t>项目</w:t>
      </w:r>
      <w:r>
        <w:rPr>
          <w:rFonts w:ascii="仿宋" w:hAnsi="仿宋" w:eastAsia="仿宋" w:cs="仿宋"/>
          <w:spacing w:val="-1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1"/>
          <w:sz w:val="31"/>
          <w:szCs w:val="31"/>
          <w:u w:val="single" w:color="auto"/>
          <w:lang w:val="en-US" w:eastAsia="zh-CN"/>
        </w:rPr>
        <w:t>22</w:t>
      </w:r>
      <w:r>
        <w:rPr>
          <w:rFonts w:ascii="仿宋" w:hAnsi="仿宋" w:eastAsia="仿宋" w:cs="仿宋"/>
          <w:spacing w:val="21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-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个，公开项目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占全部预算项目的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100</w:t>
      </w:r>
      <w:r>
        <w:rPr>
          <w:rFonts w:ascii="仿宋" w:hAnsi="仿宋" w:eastAsia="仿宋" w:cs="仿宋"/>
          <w:spacing w:val="8"/>
          <w:sz w:val="31"/>
          <w:szCs w:val="31"/>
        </w:rPr>
        <w:t>%。公开填报绩效目</w:t>
      </w:r>
      <w:r>
        <w:rPr>
          <w:rFonts w:ascii="仿宋" w:hAnsi="仿宋" w:eastAsia="仿宋" w:cs="仿宋"/>
          <w:spacing w:val="2"/>
          <w:sz w:val="31"/>
          <w:szCs w:val="31"/>
        </w:rPr>
        <w:t>标的项目预算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"/>
          <w:sz w:val="31"/>
          <w:szCs w:val="31"/>
          <w:u w:val="single" w:color="auto"/>
          <w:lang w:val="en-US" w:eastAsia="zh-CN"/>
        </w:rPr>
        <w:t>4230.24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占全部项目预算的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100</w:t>
      </w:r>
      <w:r>
        <w:rPr>
          <w:rFonts w:ascii="仿宋" w:hAnsi="仿宋" w:eastAsia="仿宋" w:cs="仿宋"/>
          <w:spacing w:val="2"/>
          <w:sz w:val="31"/>
          <w:szCs w:val="31"/>
        </w:rPr>
        <w:t>%。</w:t>
      </w:r>
    </w:p>
    <w:p w14:paraId="5ED600A1">
      <w:pPr>
        <w:pStyle w:val="3"/>
        <w:spacing w:line="267" w:lineRule="auto"/>
      </w:pPr>
    </w:p>
    <w:p w14:paraId="497D0AF0">
      <w:pPr>
        <w:spacing w:before="113" w:line="223" w:lineRule="auto"/>
        <w:ind w:left="2899"/>
        <w:outlineLvl w:val="1"/>
        <w:rPr>
          <w:rFonts w:ascii="宋体" w:hAnsi="宋体" w:eastAsia="宋体" w:cs="宋体"/>
          <w:sz w:val="35"/>
          <w:szCs w:val="35"/>
        </w:rPr>
      </w:pPr>
      <w:bookmarkStart w:id="3" w:name="bookmark13"/>
      <w:bookmarkEnd w:id="3"/>
      <w:r>
        <w:rPr>
          <w:rFonts w:ascii="宋体" w:hAnsi="宋体" w:eastAsia="宋体" w:cs="宋体"/>
          <w:b/>
          <w:bCs/>
          <w:spacing w:val="5"/>
          <w:sz w:val="35"/>
          <w:szCs w:val="35"/>
        </w:rPr>
        <w:t>第三部分</w:t>
      </w:r>
      <w:r>
        <w:rPr>
          <w:rFonts w:ascii="宋体" w:hAnsi="宋体" w:eastAsia="宋体" w:cs="宋体"/>
          <w:spacing w:val="5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名词解释</w:t>
      </w:r>
    </w:p>
    <w:p w14:paraId="5BB4328B">
      <w:pPr>
        <w:pStyle w:val="3"/>
        <w:spacing w:line="262" w:lineRule="auto"/>
      </w:pPr>
    </w:p>
    <w:p w14:paraId="23F7B304">
      <w:pPr>
        <w:pStyle w:val="3"/>
        <w:spacing w:line="262" w:lineRule="auto"/>
      </w:pPr>
    </w:p>
    <w:p w14:paraId="43000BE4">
      <w:pPr>
        <w:spacing w:before="101" w:line="357" w:lineRule="auto"/>
        <w:ind w:left="7" w:right="156" w:firstLine="65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一、财政拨款：</w:t>
      </w:r>
      <w:r>
        <w:rPr>
          <w:rFonts w:ascii="仿宋" w:hAnsi="仿宋" w:eastAsia="仿宋" w:cs="仿宋"/>
          <w:spacing w:val="11"/>
          <w:sz w:val="31"/>
          <w:szCs w:val="31"/>
        </w:rPr>
        <w:t>从同级财政部门取得的各类财政</w:t>
      </w:r>
      <w:r>
        <w:rPr>
          <w:rFonts w:ascii="仿宋" w:hAnsi="仿宋" w:eastAsia="仿宋" w:cs="仿宋"/>
          <w:spacing w:val="10"/>
          <w:sz w:val="31"/>
          <w:szCs w:val="31"/>
        </w:rPr>
        <w:t>拨款，包括</w:t>
      </w:r>
      <w:r>
        <w:rPr>
          <w:rFonts w:ascii="仿宋" w:hAnsi="仿宋" w:eastAsia="仿宋" w:cs="仿宋"/>
          <w:spacing w:val="12"/>
          <w:sz w:val="31"/>
          <w:szCs w:val="31"/>
        </w:rPr>
        <w:t>一般公共预算拨款、政府性基金预算拨款、国有资本经营预算拨</w:t>
      </w:r>
      <w:r>
        <w:rPr>
          <w:rFonts w:ascii="仿宋" w:hAnsi="仿宋" w:eastAsia="仿宋" w:cs="仿宋"/>
          <w:spacing w:val="-3"/>
          <w:sz w:val="31"/>
          <w:szCs w:val="31"/>
        </w:rPr>
        <w:t>款。</w:t>
      </w:r>
    </w:p>
    <w:p w14:paraId="41F5BED7">
      <w:pPr>
        <w:spacing w:before="1" w:line="221" w:lineRule="auto"/>
        <w:ind w:left="6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二、一般公共预算拨款收入：</w:t>
      </w:r>
      <w:r>
        <w:rPr>
          <w:rFonts w:ascii="仿宋" w:hAnsi="仿宋" w:eastAsia="仿宋" w:cs="仿宋"/>
          <w:spacing w:val="3"/>
          <w:sz w:val="30"/>
          <w:szCs w:val="30"/>
        </w:rPr>
        <w:t>指财政当年拨付的资金。</w:t>
      </w:r>
    </w:p>
    <w:p w14:paraId="1F795B72">
      <w:pPr>
        <w:spacing w:before="229" w:line="312" w:lineRule="auto"/>
        <w:ind w:left="12" w:right="156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三、财政专户管理资金：</w:t>
      </w:r>
      <w:r>
        <w:rPr>
          <w:rFonts w:ascii="仿宋" w:hAnsi="仿宋" w:eastAsia="仿宋" w:cs="仿宋"/>
          <w:spacing w:val="10"/>
          <w:sz w:val="31"/>
          <w:szCs w:val="31"/>
        </w:rPr>
        <w:t>缴入财政专户、实行专项管理的高</w:t>
      </w:r>
      <w:r>
        <w:rPr>
          <w:rFonts w:ascii="仿宋" w:hAnsi="仿宋" w:eastAsia="仿宋" w:cs="仿宋"/>
          <w:spacing w:val="9"/>
          <w:sz w:val="31"/>
          <w:szCs w:val="31"/>
        </w:rPr>
        <w:t>中以上学费、住宿费、高校委托培养费、函大、</w:t>
      </w:r>
      <w:r>
        <w:rPr>
          <w:rFonts w:ascii="仿宋" w:hAnsi="仿宋" w:eastAsia="仿宋" w:cs="仿宋"/>
          <w:spacing w:val="-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电大、夜大及短</w:t>
      </w:r>
      <w:r>
        <w:rPr>
          <w:rFonts w:ascii="仿宋" w:hAnsi="仿宋" w:eastAsia="仿宋" w:cs="仿宋"/>
          <w:spacing w:val="7"/>
          <w:sz w:val="31"/>
          <w:szCs w:val="31"/>
        </w:rPr>
        <w:t>训班培训费等教育收费。</w:t>
      </w:r>
    </w:p>
    <w:p w14:paraId="5280C07D">
      <w:pPr>
        <w:spacing w:before="225" w:line="324" w:lineRule="auto"/>
        <w:ind w:right="156"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四、单位资金：</w:t>
      </w:r>
      <w:r>
        <w:rPr>
          <w:rFonts w:ascii="仿宋" w:hAnsi="仿宋" w:eastAsia="仿宋" w:cs="仿宋"/>
          <w:spacing w:val="10"/>
          <w:sz w:val="31"/>
          <w:szCs w:val="31"/>
        </w:rPr>
        <w:t>除财政拨款收入和财政专户管理资金以外的</w:t>
      </w:r>
      <w:r>
        <w:rPr>
          <w:rFonts w:ascii="仿宋" w:hAnsi="仿宋" w:eastAsia="仿宋" w:cs="仿宋"/>
          <w:spacing w:val="12"/>
          <w:sz w:val="31"/>
          <w:szCs w:val="31"/>
        </w:rPr>
        <w:t>收入，包括事业收入（不含教育收费）、上级补助收入、附属单位上缴收入、事业单位经营收入及其他收入（包含债务收入、投</w:t>
      </w:r>
      <w:r>
        <w:rPr>
          <w:rFonts w:ascii="仿宋" w:hAnsi="仿宋" w:eastAsia="仿宋" w:cs="仿宋"/>
          <w:spacing w:val="9"/>
          <w:sz w:val="31"/>
          <w:szCs w:val="31"/>
        </w:rPr>
        <w:t>资收益等）。</w:t>
      </w:r>
    </w:p>
    <w:p w14:paraId="17506F75">
      <w:pPr>
        <w:spacing w:before="226" w:line="290" w:lineRule="auto"/>
        <w:ind w:left="25" w:right="158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五、基本支出：</w:t>
      </w:r>
      <w:r>
        <w:rPr>
          <w:rFonts w:ascii="仿宋" w:hAnsi="仿宋" w:eastAsia="仿宋" w:cs="仿宋"/>
          <w:spacing w:val="11"/>
          <w:sz w:val="31"/>
          <w:szCs w:val="31"/>
        </w:rPr>
        <w:t>指为保障机构正常运转、完成工作任务而发</w:t>
      </w:r>
      <w:r>
        <w:rPr>
          <w:rFonts w:ascii="仿宋" w:hAnsi="仿宋" w:eastAsia="仿宋" w:cs="仿宋"/>
          <w:spacing w:val="6"/>
          <w:sz w:val="31"/>
          <w:szCs w:val="31"/>
        </w:rPr>
        <w:t>生的人员支出和公用支出。</w:t>
      </w:r>
    </w:p>
    <w:p w14:paraId="140A582F">
      <w:pPr>
        <w:spacing w:before="225" w:line="290" w:lineRule="auto"/>
        <w:ind w:left="18" w:right="158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六、项目支出：</w:t>
      </w:r>
      <w:r>
        <w:rPr>
          <w:rFonts w:ascii="仿宋" w:hAnsi="仿宋" w:eastAsia="仿宋" w:cs="仿宋"/>
          <w:spacing w:val="11"/>
          <w:sz w:val="31"/>
          <w:szCs w:val="31"/>
        </w:rPr>
        <w:t>指在基本支出之外为完成特定工作任务和事</w:t>
      </w:r>
      <w:r>
        <w:rPr>
          <w:rFonts w:ascii="仿宋" w:hAnsi="仿宋" w:eastAsia="仿宋" w:cs="仿宋"/>
          <w:spacing w:val="6"/>
          <w:sz w:val="31"/>
          <w:szCs w:val="31"/>
        </w:rPr>
        <w:t>业发展目标所发生的支出。</w:t>
      </w:r>
    </w:p>
    <w:p w14:paraId="46659A9E">
      <w:pPr>
        <w:spacing w:before="227" w:line="290" w:lineRule="auto"/>
        <w:ind w:left="20" w:right="158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0"/>
          <w:sz w:val="31"/>
          <w:szCs w:val="31"/>
        </w:rPr>
        <w:t>七、对个人和家庭的补助：</w:t>
      </w:r>
      <w:r>
        <w:rPr>
          <w:rFonts w:ascii="仿宋" w:hAnsi="仿宋" w:eastAsia="仿宋" w:cs="仿宋"/>
          <w:spacing w:val="10"/>
          <w:sz w:val="31"/>
          <w:szCs w:val="31"/>
        </w:rPr>
        <w:t>是指政府用于对个人和家庭的补</w:t>
      </w:r>
      <w:r>
        <w:rPr>
          <w:rFonts w:ascii="仿宋" w:hAnsi="仿宋" w:eastAsia="仿宋" w:cs="仿宋"/>
          <w:sz w:val="31"/>
          <w:szCs w:val="31"/>
        </w:rPr>
        <w:t>助支出。</w:t>
      </w:r>
    </w:p>
    <w:p w14:paraId="55A67F9D">
      <w:pPr>
        <w:spacing w:before="225" w:line="312" w:lineRule="auto"/>
        <w:ind w:left="5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八、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“</w:t>
      </w:r>
      <w:r>
        <w:rPr>
          <w:rFonts w:ascii="仿宋" w:hAnsi="仿宋" w:eastAsia="仿宋" w:cs="仿宋"/>
          <w:spacing w:val="-11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7"/>
          <w:sz w:val="31"/>
          <w:szCs w:val="31"/>
        </w:rPr>
        <w:t>三公”经费：</w:t>
      </w:r>
      <w:r>
        <w:rPr>
          <w:rFonts w:ascii="仿宋" w:hAnsi="仿宋" w:eastAsia="仿宋" w:cs="仿宋"/>
          <w:spacing w:val="7"/>
          <w:sz w:val="31"/>
          <w:szCs w:val="31"/>
        </w:rPr>
        <w:t>指部门（单位）用一般公共预算财</w:t>
      </w:r>
      <w:r>
        <w:rPr>
          <w:rFonts w:ascii="仿宋" w:hAnsi="仿宋" w:eastAsia="仿宋" w:cs="仿宋"/>
          <w:spacing w:val="6"/>
          <w:sz w:val="31"/>
          <w:szCs w:val="31"/>
        </w:rPr>
        <w:t>政拨</w:t>
      </w:r>
      <w:r>
        <w:rPr>
          <w:rFonts w:ascii="仿宋" w:hAnsi="仿宋" w:eastAsia="仿宋" w:cs="仿宋"/>
          <w:spacing w:val="12"/>
          <w:sz w:val="31"/>
          <w:szCs w:val="31"/>
        </w:rPr>
        <w:t>款安排的因公出国（境）费、公务用车购置及运行维护费和公务</w:t>
      </w:r>
      <w:r>
        <w:rPr>
          <w:rFonts w:ascii="仿宋" w:hAnsi="仿宋" w:eastAsia="仿宋" w:cs="仿宋"/>
          <w:spacing w:val="-4"/>
          <w:sz w:val="31"/>
          <w:szCs w:val="31"/>
        </w:rPr>
        <w:t>接待费。其中，因公出国（境）费反映部门（单位）公务出国（境）</w:t>
      </w:r>
    </w:p>
    <w:p w14:paraId="1528C01B">
      <w:pPr>
        <w:spacing w:line="312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10" w:h="16840"/>
          <w:pgMar w:top="1431" w:right="1474" w:bottom="1174" w:left="1248" w:header="0" w:footer="804" w:gutter="0"/>
          <w:pgNumType w:fmt="decimal"/>
          <w:cols w:space="720" w:num="1"/>
        </w:sectPr>
      </w:pPr>
    </w:p>
    <w:p w14:paraId="371B02E3">
      <w:pPr>
        <w:pStyle w:val="3"/>
        <w:spacing w:line="256" w:lineRule="auto"/>
      </w:pPr>
    </w:p>
    <w:p w14:paraId="3098E290">
      <w:pPr>
        <w:spacing w:before="101" w:line="357" w:lineRule="auto"/>
        <w:ind w:left="10" w:right="97" w:firstLine="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的住宿费、旅费、伙食补助费、杂费、培训费等支出；公务用车</w:t>
      </w:r>
      <w:r>
        <w:rPr>
          <w:rFonts w:ascii="仿宋" w:hAnsi="仿宋" w:eastAsia="仿宋" w:cs="仿宋"/>
          <w:spacing w:val="12"/>
          <w:sz w:val="31"/>
          <w:szCs w:val="31"/>
        </w:rPr>
        <w:t>购置及运行维护费反映部门（单位）公务用车购置费、燃料费、维修费、过路过桥费、保险费、安全奖励费用等支出；公务接待费反映部门（单位）按规定开支的各类公务接待（含外</w:t>
      </w:r>
      <w:r>
        <w:rPr>
          <w:rFonts w:ascii="仿宋" w:hAnsi="仿宋" w:eastAsia="仿宋" w:cs="仿宋"/>
          <w:spacing w:val="11"/>
          <w:sz w:val="31"/>
          <w:szCs w:val="31"/>
        </w:rPr>
        <w:t>宾接待）</w:t>
      </w:r>
      <w:r>
        <w:rPr>
          <w:rFonts w:ascii="仿宋" w:hAnsi="仿宋" w:eastAsia="仿宋" w:cs="仿宋"/>
          <w:sz w:val="31"/>
          <w:szCs w:val="31"/>
        </w:rPr>
        <w:t>支出。</w:t>
      </w:r>
    </w:p>
    <w:p w14:paraId="35A310D8">
      <w:pPr>
        <w:spacing w:before="1" w:line="357" w:lineRule="auto"/>
        <w:ind w:left="3"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九、机构运行经费：</w:t>
      </w:r>
      <w:r>
        <w:rPr>
          <w:rFonts w:ascii="仿宋" w:hAnsi="仿宋" w:eastAsia="仿宋" w:cs="仿宋"/>
          <w:spacing w:val="11"/>
          <w:sz w:val="31"/>
          <w:szCs w:val="31"/>
        </w:rPr>
        <w:t>指部门（单位）使用一般公共预算安排</w:t>
      </w:r>
      <w:r>
        <w:rPr>
          <w:rFonts w:ascii="仿宋" w:hAnsi="仿宋" w:eastAsia="仿宋" w:cs="仿宋"/>
          <w:spacing w:val="4"/>
          <w:sz w:val="31"/>
          <w:szCs w:val="31"/>
        </w:rPr>
        <w:t>的基本支出中的日常公用经费支出，包括办公及印刷费、邮电费、</w:t>
      </w:r>
      <w:r>
        <w:rPr>
          <w:rFonts w:ascii="仿宋" w:hAnsi="仿宋" w:eastAsia="仿宋" w:cs="仿宋"/>
          <w:spacing w:val="9"/>
          <w:sz w:val="31"/>
          <w:szCs w:val="31"/>
        </w:rPr>
        <w:t>差旅费、会议费、福利费、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日常维修费、专用材料及一般设备购</w:t>
      </w:r>
      <w:r>
        <w:rPr>
          <w:rFonts w:ascii="仿宋" w:hAnsi="仿宋" w:eastAsia="仿宋" w:cs="仿宋"/>
          <w:spacing w:val="4"/>
          <w:sz w:val="31"/>
          <w:szCs w:val="31"/>
        </w:rPr>
        <w:t>置费、办公用房水电费、办公用房取暖费、办公用房物业管理费、</w:t>
      </w:r>
      <w:r>
        <w:rPr>
          <w:rFonts w:ascii="仿宋" w:hAnsi="仿宋" w:eastAsia="仿宋" w:cs="仿宋"/>
          <w:spacing w:val="8"/>
          <w:sz w:val="31"/>
          <w:szCs w:val="31"/>
        </w:rPr>
        <w:t>公务用车运行维护费及其他费用等。</w:t>
      </w:r>
    </w:p>
    <w:p w14:paraId="43F72B95">
      <w:pPr>
        <w:spacing w:before="2" w:line="358" w:lineRule="auto"/>
        <w:ind w:right="97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（各部门（单位）应根据公开预算表中对应的经费</w:t>
      </w:r>
      <w:r>
        <w:rPr>
          <w:rFonts w:ascii="仿宋" w:hAnsi="仿宋" w:eastAsia="仿宋" w:cs="仿宋"/>
          <w:spacing w:val="12"/>
          <w:sz w:val="31"/>
          <w:szCs w:val="31"/>
        </w:rPr>
        <w:t>情况进行</w:t>
      </w:r>
      <w:r>
        <w:rPr>
          <w:rFonts w:ascii="仿宋" w:hAnsi="仿宋" w:eastAsia="仿宋" w:cs="仿宋"/>
          <w:spacing w:val="7"/>
          <w:sz w:val="31"/>
          <w:szCs w:val="31"/>
        </w:rPr>
        <w:t>名词解释，对未涉及的名词可以删除。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）</w:t>
      </w:r>
    </w:p>
    <w:p w14:paraId="7CA2E2A6">
      <w:pPr>
        <w:pStyle w:val="3"/>
        <w:spacing w:line="425" w:lineRule="auto"/>
      </w:pPr>
    </w:p>
    <w:p w14:paraId="59673B9F">
      <w:pPr>
        <w:spacing w:before="114" w:line="495" w:lineRule="exact"/>
        <w:ind w:left="919"/>
        <w:outlineLvl w:val="1"/>
        <w:rPr>
          <w:rFonts w:ascii="宋体" w:hAnsi="宋体" w:eastAsia="宋体" w:cs="宋体"/>
          <w:sz w:val="35"/>
          <w:szCs w:val="35"/>
        </w:rPr>
      </w:pPr>
      <w:bookmarkStart w:id="4" w:name="bookmark14"/>
      <w:bookmarkEnd w:id="4"/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第四部分</w:t>
      </w:r>
      <w:r>
        <w:rPr>
          <w:rFonts w:ascii="宋体" w:hAnsi="宋体" w:eastAsia="宋体" w:cs="宋体"/>
          <w:spacing w:val="5"/>
          <w:position w:val="2"/>
          <w:sz w:val="35"/>
          <w:szCs w:val="35"/>
        </w:rPr>
        <w:t xml:space="preserve">  </w:t>
      </w:r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预算公开联系方式及信息反馈渠道</w:t>
      </w:r>
    </w:p>
    <w:p w14:paraId="56723F8F">
      <w:pPr>
        <w:pStyle w:val="3"/>
        <w:spacing w:line="327" w:lineRule="auto"/>
      </w:pPr>
    </w:p>
    <w:p w14:paraId="3F36C596">
      <w:pPr>
        <w:pStyle w:val="3"/>
        <w:spacing w:line="327" w:lineRule="auto"/>
      </w:pPr>
    </w:p>
    <w:p w14:paraId="3FC30D2E">
      <w:pPr>
        <w:spacing w:before="101" w:line="221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本单位预算公开信息反馈和联系方式：</w:t>
      </w:r>
    </w:p>
    <w:p w14:paraId="5D41F5F0">
      <w:pPr>
        <w:spacing w:before="229" w:line="223" w:lineRule="auto"/>
        <w:ind w:left="643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spacing w:val="3"/>
          <w:sz w:val="31"/>
          <w:szCs w:val="31"/>
        </w:rPr>
        <w:t>联系人：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杨婷帆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             </w:t>
      </w:r>
      <w:r>
        <w:rPr>
          <w:rFonts w:ascii="仿宋" w:hAnsi="仿宋" w:eastAsia="仿宋" w:cs="仿宋"/>
          <w:spacing w:val="3"/>
          <w:sz w:val="31"/>
          <w:szCs w:val="31"/>
        </w:rPr>
        <w:t>联系电话：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13347137917</w:t>
      </w:r>
    </w:p>
    <w:p w14:paraId="1F4E69E3">
      <w:pPr>
        <w:spacing w:line="223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10" w:h="16840"/>
          <w:pgMar w:top="1431" w:right="1533" w:bottom="1174" w:left="1248" w:header="0" w:footer="804" w:gutter="0"/>
          <w:pgNumType w:fmt="decimal"/>
          <w:cols w:space="720" w:num="1"/>
        </w:sectPr>
      </w:pPr>
    </w:p>
    <w:p w14:paraId="205BAEB1">
      <w:pPr>
        <w:pStyle w:val="2"/>
        <w:tabs>
          <w:tab w:val="left" w:pos="4392"/>
        </w:tabs>
        <w:adjustRightInd/>
        <w:snapToGrid/>
        <w:spacing w:before="0" w:after="0" w:line="600" w:lineRule="exact"/>
        <w:ind w:firstLine="0" w:firstLineChars="0"/>
        <w:jc w:val="center"/>
      </w:pPr>
      <w:bookmarkStart w:id="5" w:name="bookmark43"/>
      <w:bookmarkEnd w:id="5"/>
      <w:r>
        <w:rPr>
          <w:rFonts w:ascii="宋体" w:hAnsi="宋体" w:eastAsia="宋体" w:cs="宋体"/>
          <w:b/>
          <w:bCs/>
          <w:spacing w:val="25"/>
          <w:position w:val="2"/>
          <w:sz w:val="35"/>
          <w:szCs w:val="35"/>
        </w:rPr>
        <w:t>第五部分</w:t>
      </w:r>
      <w:r>
        <w:rPr>
          <w:rFonts w:ascii="宋体" w:hAnsi="宋体" w:eastAsia="宋体" w:cs="宋体"/>
          <w:spacing w:val="9"/>
          <w:position w:val="2"/>
          <w:sz w:val="35"/>
          <w:szCs w:val="35"/>
        </w:rPr>
        <w:t xml:space="preserve">  </w:t>
      </w:r>
      <w:r>
        <w:rPr>
          <w:rFonts w:hint="eastAsia" w:ascii="宋体" w:hAnsi="宋体" w:eastAsia="宋体" w:cs="宋体"/>
          <w:b/>
          <w:bCs/>
          <w:position w:val="2"/>
          <w:sz w:val="35"/>
          <w:szCs w:val="35"/>
          <w:lang w:val="en-US" w:eastAsia="zh-CN"/>
        </w:rPr>
        <w:t>2026</w:t>
      </w:r>
      <w:r>
        <w:rPr>
          <w:rFonts w:ascii="宋体" w:hAnsi="宋体" w:eastAsia="宋体" w:cs="宋体"/>
          <w:b/>
          <w:bCs/>
          <w:spacing w:val="25"/>
          <w:position w:val="2"/>
          <w:sz w:val="35"/>
          <w:szCs w:val="35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内蒙古河套灌区水利发展中心乌兰布和分中心本级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预算表</w:t>
      </w:r>
    </w:p>
    <w:p w14:paraId="442EE67F">
      <w:pPr>
        <w:pStyle w:val="3"/>
        <w:spacing w:line="248" w:lineRule="auto"/>
      </w:pPr>
    </w:p>
    <w:p w14:paraId="799E6C5A">
      <w:pPr>
        <w:pStyle w:val="3"/>
        <w:spacing w:line="248" w:lineRule="auto"/>
      </w:pPr>
    </w:p>
    <w:tbl>
      <w:tblPr>
        <w:tblStyle w:val="6"/>
        <w:tblW w:w="9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5"/>
        <w:gridCol w:w="1245"/>
        <w:gridCol w:w="3675"/>
        <w:gridCol w:w="1245"/>
      </w:tblGrid>
      <w:tr w14:paraId="11819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3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表1</w:t>
            </w:r>
          </w:p>
        </w:tc>
      </w:tr>
      <w:tr w14:paraId="40569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A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收支总表</w:t>
            </w:r>
          </w:p>
        </w:tc>
      </w:tr>
      <w:tr w14:paraId="37F1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29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59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7A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16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68EB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E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      入</w:t>
            </w:r>
          </w:p>
        </w:tc>
        <w:tc>
          <w:tcPr>
            <w:tcW w:w="4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A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      出</w:t>
            </w:r>
          </w:p>
        </w:tc>
      </w:tr>
      <w:tr w14:paraId="1B07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3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 目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8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B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  目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E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</w:tr>
      <w:tr w14:paraId="60612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0E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一、一般公共预算拨款收入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45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0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一、一般公共服务支出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5C7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FBF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F8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二、政府性基金预算拨款收入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E92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A1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二、外交支出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0EC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0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F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三、国有资本经营预算拨款收入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B99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AE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三、国防支出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CDB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83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52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四、财政专户管理资金收入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6EC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8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四、公共安全支出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C28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F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64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五、事业收入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8D8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AC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五、教育支出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9B6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D7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六、事业单位经营收入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AF1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9B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六、科学技术支出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764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5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6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七、上级补助收入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5C9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22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七、文化体育旅游与传媒支出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B49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C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BF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八、附属单位上缴收入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839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4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八、社会保障和就业支出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86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573.31</w:t>
            </w:r>
          </w:p>
        </w:tc>
      </w:tr>
      <w:tr w14:paraId="5175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BC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九、其他收入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364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16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九、社会保险基金支出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C7E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0C8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684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4D9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11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十、卫生健康支出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E66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266.84</w:t>
            </w:r>
          </w:p>
        </w:tc>
      </w:tr>
      <w:tr w14:paraId="1BEE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12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5E9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FC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十一、节能环保支出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5CA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D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BAE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403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3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十二、城市社区支出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B3C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5C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CA9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86D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DF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十三、农林水支出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05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3,072.20</w:t>
            </w:r>
          </w:p>
        </w:tc>
      </w:tr>
      <w:tr w14:paraId="1C8E9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1FD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893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7E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十四、交通运输支出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9EB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D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EE9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F8F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89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十五、资源勘探工业信息等支出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8A2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4F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668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0EA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A2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十六、商业服务业等支出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D2A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9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62E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9D5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39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十七、金融支出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DE3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A2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36C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D634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99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十八、援助其他地区支出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697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A9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F52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CE2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15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十九、自然资源海洋气象等支出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241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24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9F7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A62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8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二十、住房保障支出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051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317.89</w:t>
            </w:r>
          </w:p>
        </w:tc>
      </w:tr>
      <w:tr w14:paraId="69A13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BD0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80C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29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二十一、粮油物资储备支出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463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1D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988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D46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49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二十二、国有资本经营预算支出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CAE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1B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87E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A82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52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二十三、灾害防治及应急管理支出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3EE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BD8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32F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E92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63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二十四、预备费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F12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030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3F2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ECF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E3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二十五、其他支出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EC6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B40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91E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C60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19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二十六、转移性支付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7D8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F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850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832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4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二十七、债务还本支出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135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37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D95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CAC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A2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二十八、债务付息支出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721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60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85B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0E0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13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二十九、债务发行费用支出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1AE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99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2A5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FC2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FD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三十、抗疫特别国债安排的支出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A62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B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52B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D27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54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三十一、与中央财政往来性支出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94B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F3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4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本年收入合计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0F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7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本年支出合计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72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</w:tr>
      <w:tr w14:paraId="3F464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7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上年结转结余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BA4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9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年终结转结余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F3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74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F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    入    总    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E7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F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    出    总    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26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</w:tr>
    </w:tbl>
    <w:p w14:paraId="2D24C012">
      <w:pPr>
        <w:pStyle w:val="3"/>
        <w:spacing w:line="283" w:lineRule="auto"/>
      </w:pPr>
    </w:p>
    <w:p w14:paraId="55DB409C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7BA746DF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3023E10E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6DA13B04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0CCD5FBA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23BBC93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5442FF9D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474845F8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23DC2075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28D0AE3A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96DCCCD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1896331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DDC9EBD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6CEB4C0A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42500350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3DB31BDC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D6FB033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680D8574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15A5FD96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2D0F70F7">
      <w:pPr>
        <w:spacing w:before="78" w:line="217" w:lineRule="auto"/>
        <w:ind w:left="143"/>
        <w:rPr>
          <w:rFonts w:ascii="仿宋" w:hAnsi="仿宋" w:eastAsia="仿宋" w:cs="仿宋"/>
          <w:spacing w:val="9"/>
          <w:sz w:val="24"/>
          <w:szCs w:val="24"/>
        </w:rPr>
      </w:pPr>
    </w:p>
    <w:p w14:paraId="26BD3BA6">
      <w:pPr>
        <w:spacing w:before="78" w:line="217" w:lineRule="auto"/>
        <w:rPr>
          <w:rFonts w:ascii="仿宋" w:hAnsi="仿宋" w:eastAsia="仿宋" w:cs="仿宋"/>
          <w:spacing w:val="9"/>
          <w:sz w:val="24"/>
          <w:szCs w:val="24"/>
        </w:rPr>
        <w:sectPr>
          <w:footerReference r:id="rId11" w:type="default"/>
          <w:pgSz w:w="11910" w:h="16840"/>
          <w:pgMar w:top="1755" w:right="400" w:bottom="1756" w:left="1012" w:header="0" w:footer="0" w:gutter="0"/>
          <w:pgNumType w:fmt="decimal"/>
          <w:cols w:space="720" w:num="1"/>
        </w:sectPr>
      </w:pPr>
    </w:p>
    <w:tbl>
      <w:tblPr>
        <w:tblStyle w:val="6"/>
        <w:tblW w:w="14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676"/>
        <w:gridCol w:w="1107"/>
        <w:gridCol w:w="1107"/>
        <w:gridCol w:w="1077"/>
        <w:gridCol w:w="2081"/>
        <w:gridCol w:w="1579"/>
        <w:gridCol w:w="2336"/>
      </w:tblGrid>
      <w:tr w14:paraId="13037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49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表3</w:t>
            </w:r>
          </w:p>
        </w:tc>
      </w:tr>
      <w:tr w14:paraId="4AAF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E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支出总表</w:t>
            </w:r>
          </w:p>
        </w:tc>
      </w:tr>
      <w:tr w14:paraId="6376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C32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EFB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E01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4B3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8A5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90A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CDE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EE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0414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6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4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E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7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A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B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事业单位经营支出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上缴上级支出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8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对附属单位补助支出</w:t>
            </w:r>
          </w:p>
        </w:tc>
      </w:tr>
      <w:tr w14:paraId="2E73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F1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24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DE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573.31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FC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573.31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A40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1C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60AC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53A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90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DC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6081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C7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557.69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C6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557.69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6B1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569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D7C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3A8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30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31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2080502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DFE72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D2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72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154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01A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287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201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64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0E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2080505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5467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9F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6E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573C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CB0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CC5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8397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A8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07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20899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54E8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6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98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553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E18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C39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C3E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E6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5C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2089999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8294D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8E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32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E84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120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589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84D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4C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F4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85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5E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AC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9BF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86B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EA2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82D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AAA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D0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989F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9D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948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259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73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412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28D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DC1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2B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2101102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70CC9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5B4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D1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785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083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23E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A86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1F8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6A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2101103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68035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E1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4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CC1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15C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ABF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7BA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C4E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E8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83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06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B3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C1B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939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6B4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17EC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F5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0C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21303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B248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C74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95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40B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B8B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A89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62F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1E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71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2130304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FA9F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水利行业业务管理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26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FD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6D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97C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0F9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0C9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05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41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42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25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E64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2CB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5B9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545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F35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B44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CF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A56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00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91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9B8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0D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37CD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82F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DE6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0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2210201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05B1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6E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D3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932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A76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A3F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069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7B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F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EA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4,230.24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F5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4,059.24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6F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C1322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3E5F3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F6D5B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870F931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4654BA8D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03BC976A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33D808F5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  <w:sectPr>
          <w:headerReference r:id="rId12" w:type="default"/>
          <w:footerReference r:id="rId13" w:type="default"/>
          <w:pgSz w:w="16840" w:h="11910"/>
          <w:pgMar w:top="2158" w:right="2068" w:bottom="1200" w:left="1872" w:header="1789" w:footer="830" w:gutter="0"/>
          <w:pgNumType w:fmt="decimal"/>
          <w:cols w:space="720" w:num="1"/>
        </w:sectPr>
      </w:pPr>
    </w:p>
    <w:tbl>
      <w:tblPr>
        <w:tblStyle w:val="6"/>
        <w:tblW w:w="98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952"/>
        <w:gridCol w:w="2971"/>
        <w:gridCol w:w="2124"/>
      </w:tblGrid>
      <w:tr w14:paraId="3079D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A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表4</w:t>
            </w:r>
          </w:p>
        </w:tc>
      </w:tr>
      <w:tr w14:paraId="274EA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1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财政拨款收支总表</w:t>
            </w:r>
          </w:p>
        </w:tc>
      </w:tr>
      <w:tr w14:paraId="12D22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999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311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6C4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B8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0C735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2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      入</w:t>
            </w:r>
          </w:p>
        </w:tc>
        <w:tc>
          <w:tcPr>
            <w:tcW w:w="5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0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      出</w:t>
            </w:r>
          </w:p>
        </w:tc>
      </w:tr>
      <w:tr w14:paraId="1CAA0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C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E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3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2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</w:tr>
      <w:tr w14:paraId="270A2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4A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一、本年收入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11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07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一、本年支出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B9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</w:tr>
      <w:tr w14:paraId="6BE5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31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（一）一般公共预算拨款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26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30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（一）一般公共服务支出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E9C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B9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9E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（二）政府性基金预算拨款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6F0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CF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（二）外交支出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F6B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E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C9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（三）国有资本经营预算拨款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E7C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BC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（三）国防支出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02B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1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9F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二、上年结转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0814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CB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（四）公共安全支出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F3BD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5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12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（一）一般公共预算拨款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032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98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（五）教育支出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416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6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13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（二）政府性基金预算拨款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841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CB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（六）科学技术支出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5A0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E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93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（三）国有资本经营预算拨款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BEC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25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（七）文化体育旅游与传媒支出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61E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09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691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6B2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D9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（八）社会保障和就业支出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55D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573.31</w:t>
            </w:r>
          </w:p>
        </w:tc>
      </w:tr>
      <w:tr w14:paraId="46BD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9A9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C28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A4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（九）社会保险基金支出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160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FD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297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4AF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2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（十）卫生健康支出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16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266.84</w:t>
            </w:r>
          </w:p>
        </w:tc>
      </w:tr>
      <w:tr w14:paraId="09E7B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CA7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05A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3C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（十一）节能环保支出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8BE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4C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8B0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5B9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DE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（十二）城市社区支出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F51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CE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851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CCB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8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（十三）农林水支出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411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3,072.20</w:t>
            </w:r>
          </w:p>
        </w:tc>
      </w:tr>
      <w:tr w14:paraId="54D0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EC8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952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F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（十四）交通运输支出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D734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65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2B2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3466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2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（十五）资源勘探工业信息等支出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B91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1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A1C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A1A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16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（十六）商业服务业等支出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E50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F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CC6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D58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BF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（十七）金融支出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F8D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F7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38C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6D2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BB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（十八）援助其他地区支出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748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78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C1C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8C5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CE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（十九）自然资源海洋气象等支出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31E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D6F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0AE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B82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8A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（二十）住房保障支出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9C6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317.89</w:t>
            </w:r>
          </w:p>
        </w:tc>
      </w:tr>
      <w:tr w14:paraId="24D9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17C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5C4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39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（二十一）粮油物资储备支出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234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03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0E7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B53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CB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（二十二）国有资本经营预算支出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050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0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5B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17F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5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（二十三）灾害防治及应急管理支出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3AF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D5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C7F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01E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0D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（二十四）预备费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078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6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B75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379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2A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（二十五）其他支出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BA4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07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530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039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49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（二十六）转移性支付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D2D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A8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22D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F73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B5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（二十七）债务还本支出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AF1D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78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633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A7E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A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（二十八）债务付息支出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C91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6B5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6CF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F83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DC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（二十九）债务发行费用支出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E1C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F6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494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658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02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（三十）抗疫特别国债安排的支出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2C3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3F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FC1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2C5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A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（三十一）与中央财政往来性支出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E47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6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D65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0A6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55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二、年终结转结余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B43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B3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4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    入    总    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850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7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    出    总    计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E4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4,230.24</w:t>
            </w:r>
          </w:p>
        </w:tc>
      </w:tr>
    </w:tbl>
    <w:p w14:paraId="6FB266EB">
      <w:pPr>
        <w:spacing w:before="188" w:line="223" w:lineRule="auto"/>
        <w:jc w:val="both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23936124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200B1221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15853E9D">
      <w:pPr>
        <w:spacing w:before="188" w:line="223" w:lineRule="auto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</w:pPr>
    </w:p>
    <w:p w14:paraId="350AEC00">
      <w:pPr>
        <w:spacing w:before="188" w:line="223" w:lineRule="auto"/>
        <w:ind w:left="4522"/>
        <w:outlineLvl w:val="2"/>
        <w:rPr>
          <w:rFonts w:ascii="宋体" w:hAnsi="宋体" w:eastAsia="宋体" w:cs="宋体"/>
          <w:b/>
          <w:bCs/>
          <w:spacing w:val="55"/>
          <w:sz w:val="35"/>
          <w:szCs w:val="35"/>
        </w:rPr>
        <w:sectPr>
          <w:pgSz w:w="11910" w:h="16840"/>
          <w:pgMar w:top="720" w:right="720" w:bottom="720" w:left="720" w:header="1789" w:footer="830" w:gutter="0"/>
          <w:pgNumType w:fmt="decimal"/>
          <w:cols w:space="720" w:num="1"/>
        </w:sectPr>
      </w:pPr>
    </w:p>
    <w:tbl>
      <w:tblPr>
        <w:tblStyle w:val="6"/>
        <w:tblW w:w="103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3735"/>
        <w:gridCol w:w="1125"/>
        <w:gridCol w:w="1125"/>
        <w:gridCol w:w="1125"/>
        <w:gridCol w:w="1095"/>
        <w:gridCol w:w="1095"/>
      </w:tblGrid>
      <w:tr w14:paraId="145C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5" w:hRule="atLeast"/>
        </w:trPr>
        <w:tc>
          <w:tcPr>
            <w:tcW w:w="10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1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表5</w:t>
            </w:r>
          </w:p>
        </w:tc>
      </w:tr>
      <w:tr w14:paraId="401F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7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一般公共预算支出表</w:t>
            </w:r>
          </w:p>
        </w:tc>
      </w:tr>
      <w:tr w14:paraId="2B231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921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105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14C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E1D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83D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E2C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A5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0F9F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7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2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C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C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项目支出</w:t>
            </w:r>
          </w:p>
        </w:tc>
      </w:tr>
      <w:tr w14:paraId="161C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4D9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9E0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331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8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F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A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932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4D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24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9F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72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573.31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C8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573.31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F05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573.31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76A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A15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2F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30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8789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E47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EC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184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557.69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D59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7B7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6D3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1A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9274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861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56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BD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FF2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25F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70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A9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4F73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E20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75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6CB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498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6F9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A0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78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F4B5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372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53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3BB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744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E3C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C9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1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2089999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97B0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E8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91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37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700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6DE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53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14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57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A3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BF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4D0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B62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749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DE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33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085D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93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7E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E6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266.84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630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7AA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99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24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CED5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A00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CCC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7EB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D15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0D9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AD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71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2101103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7EA4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6E4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A5F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C6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4A4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145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BC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BE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CD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17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39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72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2,666.85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D7B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3E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</w:tr>
      <w:tr w14:paraId="5BD5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D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6EFD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AD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B7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6E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2,666.85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20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37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</w:tr>
      <w:tr w14:paraId="40C51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05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2130304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30BA3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水利行业业务管理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12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3,072.20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06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2,901.20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21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2,666.85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0F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FF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</w:tr>
      <w:tr w14:paraId="3E6C6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B3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D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38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5C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08A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9CD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D09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BC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72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738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F8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0B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4A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530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B42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44F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49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2210201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D5606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3C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21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CD3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7C3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043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AAF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5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5F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4,230.24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E5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4,059.24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44A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3,824.89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2C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136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</w:tr>
    </w:tbl>
    <w:p w14:paraId="3E245B8B">
      <w:pPr>
        <w:pStyle w:val="3"/>
        <w:spacing w:line="248" w:lineRule="auto"/>
        <w:sectPr>
          <w:headerReference r:id="rId14" w:type="default"/>
          <w:footerReference r:id="rId15" w:type="default"/>
          <w:pgSz w:w="11910" w:h="16840"/>
          <w:pgMar w:top="1098" w:right="1200" w:bottom="2019" w:left="400" w:header="0" w:footer="830" w:gutter="0"/>
          <w:pgNumType w:fmt="decimal"/>
          <w:cols w:space="720" w:num="1"/>
        </w:sectPr>
      </w:pPr>
    </w:p>
    <w:p w14:paraId="72CEF7CA">
      <w:pPr>
        <w:pStyle w:val="3"/>
        <w:spacing w:line="248" w:lineRule="auto"/>
      </w:pPr>
    </w:p>
    <w:tbl>
      <w:tblPr>
        <w:tblStyle w:val="6"/>
        <w:tblW w:w="10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3542"/>
        <w:gridCol w:w="1692"/>
        <w:gridCol w:w="1692"/>
        <w:gridCol w:w="1700"/>
      </w:tblGrid>
      <w:tr w14:paraId="6AF8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44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表6</w:t>
            </w:r>
          </w:p>
        </w:tc>
      </w:tr>
      <w:tr w14:paraId="36C9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0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5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一般公共预算基本支出表</w:t>
            </w:r>
          </w:p>
        </w:tc>
      </w:tr>
      <w:tr w14:paraId="7926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0E4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79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C91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19D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1B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7156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1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部门预算支出经济分类科目</w:t>
            </w:r>
          </w:p>
        </w:tc>
        <w:tc>
          <w:tcPr>
            <w:tcW w:w="5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D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本年一般公共预算基本支出</w:t>
            </w:r>
          </w:p>
        </w:tc>
      </w:tr>
      <w:tr w14:paraId="707D6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6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A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1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6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5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公用经费</w:t>
            </w:r>
          </w:p>
        </w:tc>
      </w:tr>
      <w:tr w14:paraId="1128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C1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B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E6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3,578.27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4F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3,578.27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27F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71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2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A1EC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FF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1,256.76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F6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1,256.76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84B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6B5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26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09C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E3D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753.72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22F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753.72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B3A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C2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53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30107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F8A2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FE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356.22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99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356.22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3E7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F6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9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30108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E2EB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B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84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F9E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94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1D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30110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9D00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职工基本医疗保险缴费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57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BB5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166.26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528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6D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2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5788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F3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CAA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7D6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8A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F2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E1F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F5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11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6EB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032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A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30113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C791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BA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30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91D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AD2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66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30199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5E65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CC5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282.40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FF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282.40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3C3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53E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D7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2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11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225.50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69D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59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225.50</w:t>
            </w:r>
          </w:p>
        </w:tc>
      </w:tr>
      <w:tr w14:paraId="1FAAE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B8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83A9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6E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62.36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87F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BF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62.36</w:t>
            </w:r>
          </w:p>
        </w:tc>
      </w:tr>
      <w:tr w14:paraId="0E99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D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461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0C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4BA7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36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</w:t>
            </w:r>
          </w:p>
        </w:tc>
      </w:tr>
      <w:tr w14:paraId="7BBEA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67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30204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BFF1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手续费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FA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CDD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E6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 w14:paraId="3424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59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30205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52E0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E2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AB2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BE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</w:tr>
      <w:tr w14:paraId="6C3F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79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30206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363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38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39.88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5F2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B4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39.88</w:t>
            </w:r>
          </w:p>
        </w:tc>
      </w:tr>
      <w:tr w14:paraId="4896C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D2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30207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5D25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00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946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13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</w:tr>
      <w:tr w14:paraId="48FF1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0C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30208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DFD0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2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2BA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34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35.62</w:t>
            </w:r>
          </w:p>
        </w:tc>
      </w:tr>
      <w:tr w14:paraId="76FA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3D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EB3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6F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7E1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8F5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</w:t>
            </w:r>
          </w:p>
        </w:tc>
      </w:tr>
      <w:tr w14:paraId="751F5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4F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30214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1550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CF1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01E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17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 w14:paraId="782A3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5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30216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4DF7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1E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6.05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864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30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6.05</w:t>
            </w:r>
          </w:p>
        </w:tc>
      </w:tr>
      <w:tr w14:paraId="38BA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A0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30217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7D1D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E61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2.65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9E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47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2.65</w:t>
            </w:r>
          </w:p>
        </w:tc>
      </w:tr>
      <w:tr w14:paraId="25672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C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30228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E57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9C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610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94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39.41</w:t>
            </w:r>
          </w:p>
        </w:tc>
      </w:tr>
      <w:tr w14:paraId="3DC6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F0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30231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D0D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FF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807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6F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 w14:paraId="5057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60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30239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98F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其他交通费用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18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C0E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75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</w:t>
            </w:r>
          </w:p>
        </w:tc>
      </w:tr>
      <w:tr w14:paraId="10341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4A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30299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1187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11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5.78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DB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55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5.78</w:t>
            </w:r>
          </w:p>
        </w:tc>
      </w:tr>
      <w:tr w14:paraId="14D9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F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AF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46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246.62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AF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246.62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A7D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853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1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40BF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72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F2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228.88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472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C5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9B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30305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7B93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C8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17.74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6D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17.74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3F6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BA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FD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5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EB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8.86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540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A0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8.86</w:t>
            </w:r>
          </w:p>
        </w:tc>
      </w:tr>
      <w:tr w14:paraId="1B08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16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98C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办公设备购置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93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2FE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60E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7.09</w:t>
            </w:r>
          </w:p>
        </w:tc>
      </w:tr>
      <w:tr w14:paraId="389D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60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31003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F290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专用设备购置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0FB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4EE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AA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</w:t>
            </w:r>
          </w:p>
        </w:tc>
      </w:tr>
      <w:tr w14:paraId="7B1D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6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7D8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4,059.24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63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3,824.89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1F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234.35</w:t>
            </w:r>
          </w:p>
        </w:tc>
      </w:tr>
    </w:tbl>
    <w:p w14:paraId="4D188217">
      <w:pPr>
        <w:spacing w:line="215" w:lineRule="auto"/>
        <w:rPr>
          <w:rFonts w:ascii="仿宋" w:hAnsi="仿宋" w:eastAsia="仿宋" w:cs="仿宋"/>
          <w:sz w:val="24"/>
          <w:szCs w:val="24"/>
        </w:rPr>
        <w:sectPr>
          <w:pgSz w:w="11910" w:h="16840"/>
          <w:pgMar w:top="1098" w:right="1200" w:bottom="2019" w:left="400" w:header="0" w:footer="830" w:gutter="0"/>
          <w:pgNumType w:fmt="decimal"/>
          <w:cols w:space="720" w:num="1"/>
        </w:sectPr>
      </w:pPr>
    </w:p>
    <w:p w14:paraId="6DCF5EE5">
      <w:pPr>
        <w:pStyle w:val="3"/>
        <w:spacing w:line="297" w:lineRule="auto"/>
      </w:pPr>
    </w:p>
    <w:tbl>
      <w:tblPr>
        <w:tblStyle w:val="6"/>
        <w:tblW w:w="141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945"/>
        <w:gridCol w:w="823"/>
        <w:gridCol w:w="736"/>
        <w:gridCol w:w="622"/>
        <w:gridCol w:w="770"/>
        <w:gridCol w:w="723"/>
        <w:gridCol w:w="774"/>
        <w:gridCol w:w="566"/>
        <w:gridCol w:w="737"/>
        <w:gridCol w:w="612"/>
        <w:gridCol w:w="796"/>
        <w:gridCol w:w="751"/>
        <w:gridCol w:w="775"/>
        <w:gridCol w:w="490"/>
        <w:gridCol w:w="786"/>
        <w:gridCol w:w="639"/>
        <w:gridCol w:w="835"/>
        <w:gridCol w:w="730"/>
      </w:tblGrid>
      <w:tr w14:paraId="11A7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F3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表7</w:t>
            </w:r>
          </w:p>
        </w:tc>
      </w:tr>
      <w:tr w14:paraId="0C5B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7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一般公共预算“三公”经费支出表</w:t>
            </w:r>
          </w:p>
        </w:tc>
      </w:tr>
      <w:tr w14:paraId="3967F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53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906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9DD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065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C9A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D35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544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F2B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29D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163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CBE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77D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6BE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C44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4AF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C6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795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76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2F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2DAA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9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6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E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2025年预算数</w:t>
            </w:r>
          </w:p>
        </w:tc>
        <w:tc>
          <w:tcPr>
            <w:tcW w:w="4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2025年执行数</w:t>
            </w:r>
          </w:p>
        </w:tc>
        <w:tc>
          <w:tcPr>
            <w:tcW w:w="42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A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2026年预算数</w:t>
            </w:r>
          </w:p>
        </w:tc>
      </w:tr>
      <w:tr w14:paraId="25BF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D13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7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"三公"经费合计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A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因公出国(境)费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3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6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D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"三公"经费合计</w:t>
            </w:r>
          </w:p>
        </w:tc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7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因公出国(境)费</w:t>
            </w:r>
          </w:p>
        </w:tc>
        <w:tc>
          <w:tcPr>
            <w:tcW w:w="2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E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7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2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"三公"经费合计</w:t>
            </w:r>
          </w:p>
        </w:tc>
        <w:tc>
          <w:tcPr>
            <w:tcW w:w="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4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因公出国(境)费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9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E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公务接待费</w:t>
            </w:r>
          </w:p>
        </w:tc>
      </w:tr>
      <w:tr w14:paraId="53D9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A8E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6EF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C5B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8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小计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D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0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3CE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5264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428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A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小计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6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D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1208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92A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EC3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D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小计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B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B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082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500E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34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29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62F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F074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761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BB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F90ED">
            <w:pPr>
              <w:jc w:val="righ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9.50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D3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1FE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0F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85F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1F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351CB">
            <w:pPr>
              <w:jc w:val="righ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ED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850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96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738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72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31.35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0F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2.65</w:t>
            </w:r>
          </w:p>
        </w:tc>
      </w:tr>
    </w:tbl>
    <w:p w14:paraId="4A593975">
      <w:pPr>
        <w:pStyle w:val="3"/>
        <w:spacing w:line="281" w:lineRule="auto"/>
      </w:pPr>
    </w:p>
    <w:p w14:paraId="4CAEC7D3">
      <w:pPr>
        <w:spacing w:line="227" w:lineRule="auto"/>
        <w:rPr>
          <w:rFonts w:ascii="宋体" w:hAnsi="宋体" w:eastAsia="宋体" w:cs="宋体"/>
          <w:sz w:val="19"/>
          <w:szCs w:val="19"/>
        </w:rPr>
        <w:sectPr>
          <w:footerReference r:id="rId16" w:type="default"/>
          <w:pgSz w:w="16840" w:h="11910"/>
          <w:pgMar w:top="400" w:right="1485" w:bottom="1200" w:left="1705" w:header="0" w:footer="830" w:gutter="0"/>
          <w:pgNumType w:fmt="decimal"/>
          <w:cols w:space="720" w:num="1"/>
        </w:sectPr>
      </w:pPr>
    </w:p>
    <w:tbl>
      <w:tblPr>
        <w:tblStyle w:val="6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45"/>
        <w:gridCol w:w="1492"/>
        <w:gridCol w:w="240"/>
        <w:gridCol w:w="2228"/>
        <w:gridCol w:w="4046"/>
        <w:gridCol w:w="3651"/>
      </w:tblGrid>
      <w:tr w14:paraId="7A8D3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CA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表8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AC6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6B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641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688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2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7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政府性基金预算支出表</w:t>
            </w:r>
          </w:p>
        </w:tc>
      </w:tr>
      <w:tr w14:paraId="22080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266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E1D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0F5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02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1EB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7B4B4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17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F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9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6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本年政府性基金预算支出</w:t>
            </w:r>
          </w:p>
        </w:tc>
      </w:tr>
      <w:tr w14:paraId="4E6E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18A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5FC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3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1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4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项目支出</w:t>
            </w:r>
          </w:p>
        </w:tc>
      </w:tr>
      <w:tr w14:paraId="7A24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1AC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BAA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C1C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140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8A8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1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948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65E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04D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21F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FC3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9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E52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516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C75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637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36B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2B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3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F58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FCCDC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C2236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33EFD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8B06834">
      <w:pPr>
        <w:spacing w:line="600" w:lineRule="exact"/>
        <w:ind w:left="217" w:firstLine="380" w:firstLineChars="200"/>
        <w:rPr>
          <w:rFonts w:hint="eastAsia" w:ascii="宋体" w:eastAsia="宋体"/>
          <w:b w:val="0"/>
          <w:bCs w:val="0"/>
          <w:w w:val="95"/>
          <w:sz w:val="20"/>
          <w:highlight w:val="none"/>
        </w:rPr>
      </w:pPr>
      <w:r>
        <w:rPr>
          <w:rFonts w:hint="eastAsia" w:ascii="宋体" w:eastAsia="宋体"/>
          <w:w w:val="95"/>
          <w:sz w:val="20"/>
          <w:highlight w:val="none"/>
          <w:lang w:val="en-US" w:eastAsia="zh-CN"/>
        </w:rPr>
        <w:t>说明：乌兰布和分中心2026年</w:t>
      </w:r>
      <w:r>
        <w:rPr>
          <w:rFonts w:hint="eastAsia" w:ascii="宋体" w:eastAsia="宋体"/>
          <w:w w:val="95"/>
          <w:sz w:val="20"/>
          <w:highlight w:val="none"/>
        </w:rPr>
        <w:t>无政府性基金预算支出</w:t>
      </w:r>
    </w:p>
    <w:p w14:paraId="51809C9D">
      <w:pPr>
        <w:spacing w:line="600" w:lineRule="exact"/>
        <w:ind w:firstLine="240" w:firstLineChars="100"/>
        <w:rPr>
          <w:rFonts w:eastAsia="宋体"/>
          <w:sz w:val="24"/>
          <w:highlight w:val="none"/>
        </w:rPr>
      </w:pPr>
    </w:p>
    <w:p w14:paraId="4584B394">
      <w:pPr>
        <w:spacing w:line="600" w:lineRule="exact"/>
        <w:ind w:firstLine="240" w:firstLineChars="100"/>
        <w:rPr>
          <w:rFonts w:eastAsia="宋体"/>
          <w:sz w:val="24"/>
          <w:highlight w:val="none"/>
        </w:rPr>
      </w:pPr>
    </w:p>
    <w:p w14:paraId="0BA96574">
      <w:pPr>
        <w:spacing w:before="174" w:line="493" w:lineRule="exact"/>
        <w:ind w:left="4523"/>
        <w:outlineLvl w:val="2"/>
        <w:rPr>
          <w:rFonts w:ascii="宋体" w:hAnsi="宋体" w:eastAsia="宋体" w:cs="宋体"/>
          <w:b/>
          <w:bCs/>
          <w:spacing w:val="56"/>
          <w:position w:val="2"/>
          <w:sz w:val="35"/>
          <w:szCs w:val="35"/>
        </w:rPr>
      </w:pPr>
    </w:p>
    <w:p w14:paraId="3995BC48">
      <w:pPr>
        <w:spacing w:before="174" w:line="493" w:lineRule="exact"/>
        <w:ind w:left="4523"/>
        <w:outlineLvl w:val="2"/>
        <w:rPr>
          <w:rFonts w:ascii="宋体" w:hAnsi="宋体" w:eastAsia="宋体" w:cs="宋体"/>
          <w:b/>
          <w:bCs/>
          <w:spacing w:val="56"/>
          <w:position w:val="2"/>
          <w:sz w:val="35"/>
          <w:szCs w:val="35"/>
        </w:rPr>
      </w:pPr>
    </w:p>
    <w:p w14:paraId="3ABFDE4D">
      <w:pPr>
        <w:spacing w:before="174" w:line="493" w:lineRule="exact"/>
        <w:outlineLvl w:val="2"/>
        <w:rPr>
          <w:rFonts w:ascii="宋体" w:hAnsi="宋体" w:eastAsia="宋体" w:cs="宋体"/>
          <w:b/>
          <w:bCs/>
          <w:spacing w:val="56"/>
          <w:position w:val="2"/>
          <w:sz w:val="35"/>
          <w:szCs w:val="35"/>
        </w:rPr>
      </w:pPr>
    </w:p>
    <w:tbl>
      <w:tblPr>
        <w:tblStyle w:val="6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2114"/>
        <w:gridCol w:w="2844"/>
        <w:gridCol w:w="4030"/>
        <w:gridCol w:w="3645"/>
      </w:tblGrid>
      <w:tr w14:paraId="6553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DA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表9</w:t>
            </w:r>
          </w:p>
        </w:tc>
      </w:tr>
      <w:tr w14:paraId="39266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F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国有资本经营预算支出表</w:t>
            </w:r>
          </w:p>
        </w:tc>
      </w:tr>
      <w:tr w14:paraId="3C830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6ED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A1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F03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7CF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46D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2EC43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A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2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6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0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9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本年国有资本经营预算支出</w:t>
            </w:r>
          </w:p>
        </w:tc>
      </w:tr>
      <w:tr w14:paraId="6CAD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F6B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626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6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9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F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项目支出</w:t>
            </w:r>
          </w:p>
        </w:tc>
      </w:tr>
      <w:tr w14:paraId="60D2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49A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24A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FF1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90F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24B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D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AFA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2FF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05A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494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0F5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9EF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3B4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2F3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C09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F2F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413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F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4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7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B8694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377DA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2B70E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FC9B508">
      <w:pPr>
        <w:spacing w:line="600" w:lineRule="exact"/>
        <w:ind w:left="217" w:firstLine="380" w:firstLineChars="200"/>
        <w:rPr>
          <w:rFonts w:hint="eastAsia" w:ascii="宋体" w:eastAsia="宋体"/>
          <w:w w:val="95"/>
          <w:sz w:val="20"/>
          <w:highlight w:val="none"/>
        </w:rPr>
      </w:pPr>
      <w:r>
        <w:rPr>
          <w:rFonts w:hint="eastAsia" w:ascii="宋体" w:eastAsia="宋体"/>
          <w:w w:val="95"/>
          <w:sz w:val="20"/>
          <w:highlight w:val="none"/>
          <w:lang w:val="en-US" w:eastAsia="zh-CN"/>
        </w:rPr>
        <w:t>说明：乌兰布和分中心2026年</w:t>
      </w:r>
      <w:r>
        <w:rPr>
          <w:rFonts w:hint="eastAsia" w:ascii="宋体" w:eastAsia="宋体"/>
          <w:w w:val="95"/>
          <w:sz w:val="20"/>
          <w:highlight w:val="none"/>
        </w:rPr>
        <w:t>无</w:t>
      </w:r>
      <w:r>
        <w:rPr>
          <w:rFonts w:hint="eastAsia" w:ascii="宋体" w:eastAsia="宋体"/>
          <w:w w:val="95"/>
          <w:sz w:val="20"/>
          <w:highlight w:val="none"/>
          <w:lang w:val="en-US" w:eastAsia="zh-CN"/>
        </w:rPr>
        <w:t>国有资本经营</w:t>
      </w:r>
      <w:r>
        <w:rPr>
          <w:rFonts w:hint="eastAsia" w:ascii="宋体" w:eastAsia="宋体"/>
          <w:w w:val="95"/>
          <w:sz w:val="20"/>
          <w:highlight w:val="none"/>
        </w:rPr>
        <w:t>预算支出</w:t>
      </w:r>
    </w:p>
    <w:p w14:paraId="2063D34E">
      <w:pPr>
        <w:spacing w:line="600" w:lineRule="exact"/>
        <w:ind w:left="217" w:firstLine="380" w:firstLineChars="200"/>
        <w:rPr>
          <w:rFonts w:hint="eastAsia" w:ascii="宋体" w:eastAsia="宋体"/>
          <w:w w:val="95"/>
          <w:sz w:val="20"/>
          <w:highlight w:val="none"/>
        </w:rPr>
      </w:pPr>
    </w:p>
    <w:p w14:paraId="5172F302">
      <w:pPr>
        <w:pStyle w:val="3"/>
        <w:spacing w:line="297" w:lineRule="auto"/>
      </w:pPr>
    </w:p>
    <w:p w14:paraId="55500BB0">
      <w:pPr>
        <w:pStyle w:val="3"/>
        <w:spacing w:line="297" w:lineRule="auto"/>
      </w:pPr>
    </w:p>
    <w:p w14:paraId="37D31240">
      <w:pPr>
        <w:pStyle w:val="3"/>
        <w:spacing w:line="297" w:lineRule="auto"/>
      </w:pPr>
    </w:p>
    <w:p w14:paraId="64C910EE">
      <w:pPr>
        <w:pStyle w:val="3"/>
        <w:spacing w:line="297" w:lineRule="auto"/>
      </w:pPr>
    </w:p>
    <w:p w14:paraId="0E3DB391">
      <w:pPr>
        <w:pStyle w:val="3"/>
        <w:spacing w:line="297" w:lineRule="auto"/>
      </w:pPr>
    </w:p>
    <w:tbl>
      <w:tblPr>
        <w:tblStyle w:val="6"/>
        <w:tblW w:w="147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316"/>
        <w:gridCol w:w="803"/>
        <w:gridCol w:w="815"/>
        <w:gridCol w:w="815"/>
        <w:gridCol w:w="879"/>
        <w:gridCol w:w="806"/>
        <w:gridCol w:w="880"/>
        <w:gridCol w:w="880"/>
        <w:gridCol w:w="806"/>
        <w:gridCol w:w="806"/>
        <w:gridCol w:w="806"/>
        <w:gridCol w:w="806"/>
        <w:gridCol w:w="807"/>
        <w:gridCol w:w="807"/>
        <w:gridCol w:w="865"/>
      </w:tblGrid>
      <w:tr w14:paraId="36EB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7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CE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表10</w:t>
            </w:r>
          </w:p>
        </w:tc>
      </w:tr>
      <w:tr w14:paraId="356F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47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2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项目支出表</w:t>
            </w:r>
          </w:p>
        </w:tc>
      </w:tr>
      <w:tr w14:paraId="6B7F0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48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517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CC3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272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CC7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5F7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1BC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18B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756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443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BB7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EE9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BC3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B1F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1B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38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21F3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5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2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B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B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1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资金管理处室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B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业务管理处室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7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单位编码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A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4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8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本年拨款</w:t>
            </w:r>
          </w:p>
        </w:tc>
        <w:tc>
          <w:tcPr>
            <w:tcW w:w="24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2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财政拨款结转结余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C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3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单位资金</w:t>
            </w:r>
          </w:p>
        </w:tc>
      </w:tr>
      <w:tr w14:paraId="023A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262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357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E3D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51F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9C6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A02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1A9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E47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2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7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1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2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E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5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93F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3A5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06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4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部门预算项目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C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E5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16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05-农牧科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A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05-农牧科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4E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BD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754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CF2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806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37F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95D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3EB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2A6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57E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17A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66A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4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B7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2C9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02C4D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F2795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1E0B4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877F4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FCF7F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4C80D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E006A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E81CAFD">
      <w:pPr>
        <w:pStyle w:val="3"/>
        <w:spacing w:line="243" w:lineRule="auto"/>
      </w:pPr>
    </w:p>
    <w:p w14:paraId="35ADB8C6">
      <w:pPr>
        <w:pStyle w:val="3"/>
        <w:spacing w:line="243" w:lineRule="auto"/>
      </w:pPr>
    </w:p>
    <w:p w14:paraId="72B19722">
      <w:pPr>
        <w:pStyle w:val="3"/>
        <w:spacing w:line="244" w:lineRule="auto"/>
      </w:pPr>
    </w:p>
    <w:tbl>
      <w:tblPr>
        <w:tblStyle w:val="6"/>
        <w:tblW w:w="146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53"/>
        <w:gridCol w:w="885"/>
        <w:gridCol w:w="1080"/>
        <w:gridCol w:w="1995"/>
        <w:gridCol w:w="722"/>
        <w:gridCol w:w="1127"/>
        <w:gridCol w:w="1127"/>
        <w:gridCol w:w="1127"/>
        <w:gridCol w:w="1127"/>
        <w:gridCol w:w="1127"/>
        <w:gridCol w:w="1127"/>
        <w:gridCol w:w="875"/>
        <w:gridCol w:w="252"/>
      </w:tblGrid>
      <w:tr w14:paraId="3FDC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33" w:hRule="atLeast"/>
        </w:trPr>
        <w:tc>
          <w:tcPr>
            <w:tcW w:w="14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30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表11</w:t>
            </w:r>
          </w:p>
        </w:tc>
      </w:tr>
      <w:tr w14:paraId="6FA34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21" w:hRule="atLeast"/>
        </w:trPr>
        <w:tc>
          <w:tcPr>
            <w:tcW w:w="14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3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项目绩效目标表</w:t>
            </w:r>
          </w:p>
        </w:tc>
      </w:tr>
      <w:tr w14:paraId="52FC5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53B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3C7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151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CCD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47E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739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0A3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09D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EE1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C25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8EB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C5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3B7E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A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3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C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5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F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2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7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F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B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指标方向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9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目标值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2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1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</w:tr>
      <w:tr w14:paraId="43CB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48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年度考核奖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6F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D8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1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69.96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EF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6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E7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E4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5C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68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A3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4D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53B1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9E9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265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3D1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9EA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0DB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24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97B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ED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FF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72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BA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5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D3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B56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6ED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31B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E1A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0C8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6E1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15A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A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A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4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77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49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5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9E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5A6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488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7B4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D83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A92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FF0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5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09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37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95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7E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9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C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B2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FE4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EA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4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CE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317.89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20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EE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4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DF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36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AF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3B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58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9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59F9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962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879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255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801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495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2F3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65E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33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12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A6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AB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6B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2C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F7C3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7B8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962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666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68B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119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500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8B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A3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FC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EA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3F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45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7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436AE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2BA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ADC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6F1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CAD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C9A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DF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9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5C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55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96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27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5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54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668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C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在职取暖补贴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B6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31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6FD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46.62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13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C2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F0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1E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3C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A6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70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65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8E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F03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EA1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19D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83B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7A8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8F4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8FE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B65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2E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32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47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20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A0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5D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9E9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074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A75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E68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E1B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3C0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741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4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08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1D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8C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24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4D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AD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269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502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A67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A0B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F8D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546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1E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71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24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1F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E9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E9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71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58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34E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E4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其它项工资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BB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D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93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282.40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7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0B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19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E5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4E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BA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B4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6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A7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D4B3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31F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094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371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613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4D8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DB2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FAB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51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B0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2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5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14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18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B1A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BA5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711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297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000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A2C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1E4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FB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27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7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A3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BD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C5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7F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9E8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FF9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4C6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CF5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D2E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923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45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8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16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3C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75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6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21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76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E74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6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大额医保公补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DE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40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E72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3.28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1C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24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45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35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4D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45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4F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9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0D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7BE2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692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9BA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610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821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5FE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B49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06C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EE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5E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EC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40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3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C8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959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2D9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9A0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1EC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2DB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AEB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532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40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9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72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C4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1B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1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AA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3FA6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6DD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BA0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7A9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BC3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554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E9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59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D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F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B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A5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93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5B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88E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50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公务员医疗保险公补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63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19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BC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100.59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90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EA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FA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D8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AB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A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22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BE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C2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456DA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ED4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8EF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629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677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A07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E09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C66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AC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3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16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1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81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DB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C8F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0C0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29C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450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7A86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0DE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AFC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1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EE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B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E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DF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13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F5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B97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3BA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B9D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17D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A50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0F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DE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4B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42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A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A0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3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5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B8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E83B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B3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职工基本医疗保险缴费公补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5A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6B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B1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162.98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63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2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0C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DC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08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F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23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BF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9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0CB8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FC1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08E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A67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672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E8F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206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B75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2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8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E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5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CB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2B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BF03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CB4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66A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9EB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BC3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68C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8F6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F1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F0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D3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A7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BC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3A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62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50DC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41E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042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232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C7A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8EB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91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2B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9B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B6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D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99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DE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F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EB9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66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工伤保险公补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FB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A9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8E4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5.34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23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C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79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C4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0B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D3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DE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93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15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2E6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B23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396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BF1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AE2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32B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701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508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6E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FF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6A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56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21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FB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5E5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61E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EA7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6AB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E3E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3FD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D68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D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FD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55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6D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3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FC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43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BC7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472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DE9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B11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375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293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31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54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EC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79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72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BC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38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49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1E1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CF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失业保险公补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B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09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54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10.28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0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30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F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E5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3F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8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BC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97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1A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AB77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B05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552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9A1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503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4A6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C09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792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C7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ED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7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51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8C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1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B8CE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38D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CC2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878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168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F2A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3EE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49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EE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13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8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59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A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4C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CF08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6BF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ED7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EBC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A91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85C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2F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EB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6E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3E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6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69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F0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E6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CF6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0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机关事业单位养老保险公补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C9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F2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54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328.81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F2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6A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11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8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18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CE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80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F7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07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C35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6EE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ED0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01D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0F3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0DA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344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491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19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E2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A3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91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E0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4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4881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26F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7BD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5A7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A89C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2B2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3A0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04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0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8E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05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B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74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66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6CA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0AA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9A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0A0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64D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C2F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A1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A1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8D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71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11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75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DC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FB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988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C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奖励性绩效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6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1F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22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286.25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2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99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B6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ED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7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DA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71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E0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18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3C42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92B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062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38E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4CD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573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B6C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276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AE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8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BB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8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AD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2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688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41C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A9D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240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65A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12A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21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F6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7D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E7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3C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ED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70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EF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852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7B4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61A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7B4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FE8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FA28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49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BD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7A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2F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3F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25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3F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CD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F0BE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49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在职人员工资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13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8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11-工资福利支出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5D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1,963.86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03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42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28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0F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46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1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B3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1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4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9EEA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0E0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7D4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CCB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5F4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6A1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229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FDE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8B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D1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14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DD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0D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B1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FEA2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886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ADD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E95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CAD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28F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589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C1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F3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7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8C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32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B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A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FD45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BEB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1A2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B0D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D93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568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3B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8A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BB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B5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7B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9C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8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7C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CCB3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12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遗属取暖补贴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FC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C8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12-对个人和家庭补助支出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DFB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14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8B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6C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8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96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1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62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07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2EA828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A45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451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E18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5CB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A31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85D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FF1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47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5D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72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10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E8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B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DBED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BB5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14D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C36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780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1FB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A2A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C2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F1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38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5F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1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64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25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2EE8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EAB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0FD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934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A6A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78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D1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4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AA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30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F0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84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72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70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097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5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离退休取暖补贴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2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66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12-对个人和家庭补助支出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3C4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57.27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A3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5C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6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DA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75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5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60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AC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6B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DBDC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007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6B4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3A2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CC5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C45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D8C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E13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71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1F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23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83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C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DD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2F0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B76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F34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B3F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889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172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A65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36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6C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AB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3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1B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9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E9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7EAA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500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F46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F2C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705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936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8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4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BD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4A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05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61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7F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2A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D64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C6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遗属补助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4B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FA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12-对个人和家庭补助支出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5C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16.61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CB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B3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0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B3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B0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12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69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2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2D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D706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10D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006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259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8C0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F0E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0FF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E79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B8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BA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87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D7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85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46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241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BD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0F9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C9D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D60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7699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1C4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90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F6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C4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58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20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0A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AF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4E4C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AE8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8F9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0A7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D43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8F1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D7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6B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83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0E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E4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E2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89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62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A12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8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退休人员工资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1D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4C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12-对个人和家庭补助支出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4C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171.61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D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4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A3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40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99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13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E6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5F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E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9CC0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F2C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EF6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004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1B4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118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CF2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F3D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1B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4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3B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51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2A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74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C24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11E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A19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335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59C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5C6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ED9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B2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98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3F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3B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91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48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92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84E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62A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688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953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99E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AC1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B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CF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5C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B9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7B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7F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78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7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03E4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FD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70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5B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A7B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100.61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CB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3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0F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EB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16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1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1A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08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3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4C7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D02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65F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34D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99E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DC9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8F5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E83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8E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CA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2C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EC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77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60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74D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834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22B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A6F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06F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CA9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5F8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77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FE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79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47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9B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6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C4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41A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E5E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21C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2E6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5FE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DAF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B7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AA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B7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D3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D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CA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4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30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35E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15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女职工卫生费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6C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F9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47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D1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D5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58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CF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6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F6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C1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C4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F6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5AC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0AF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964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2CF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218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A1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FBB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8D3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C6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9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33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37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ED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CB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32D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AB1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F06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371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359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8553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836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59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F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A3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7D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C8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18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8E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249F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9DC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62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A1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8DB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872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59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6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1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DC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92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03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0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0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AB6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FD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D2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E7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F0A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39.41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7F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01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73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8A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97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2A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D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2F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15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1EC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E28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FFD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594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805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CFB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5F2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C24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F5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AD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2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92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1F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DF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604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34C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721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6F5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E88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F40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AD6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F8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C4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8A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43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74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76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CF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42B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6E2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B2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2EE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91A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C79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ED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E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52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D5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B6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36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D3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F8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275E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23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车辆公务费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9A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5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B5E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5D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84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9F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F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DA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95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CC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62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95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F847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0E2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A00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372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12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799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BB2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9F7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B0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E4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AB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44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75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077C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C81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E18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363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C2F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F05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6E9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C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4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B8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D6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D3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57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BA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49B5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15C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36D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7EB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05F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1BD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4A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97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DF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F0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E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20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46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95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7205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3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水电暖物业费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4B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05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21-公用经费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0AE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76.15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26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严格执行相关政策，保障工资及时发放、足额发放，预算编制科学合理，减少结余资金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5D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C8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7F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科目调整次数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FD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79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A8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72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6A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3977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7B1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604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627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0DF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15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01B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919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8F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足额保障率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0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9D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C1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79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65B3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8C8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FDF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235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A6B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942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561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84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AE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32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9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F1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F2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A6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561E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516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CCB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113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81A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F32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45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3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B8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结余率=结余数/预算数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6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C6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CF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A2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9C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</w:tr>
      <w:tr w14:paraId="1A7E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1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FF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702008-内蒙古河套灌区水利发展中心乌兰布和分中心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01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31-部门预算项目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6B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171.00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0E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了保障乌兰布和分中心2026年单位正常运行，灌排工作正常开展，根据单位实际情况及2026年预算安排测算。补充灌域200多天运转经费，8个所站1个机关的公用经费，以用来提高单位的工作效率，保障职工正常工作生活，保障单位正常运行。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41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E2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F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项目总成本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FB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9D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FB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199.34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8C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A3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0FA3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78D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07A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CED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17F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35E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306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96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B3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项目按季度支出平均成本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BF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0C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9B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E0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52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4722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926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347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545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3A1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1DB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12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E4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64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项目保障人数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F4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FB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F4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EA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20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7AE3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5E4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681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136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D98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99E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F40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1F5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C7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项目涉及单位数量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7E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12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22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21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90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424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DE9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ECB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F4E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186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41E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336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27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BB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65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3B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48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74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2C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485C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756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65D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412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C9C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BF1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503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2BE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F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项目截止日期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88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CC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39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D7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2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5B34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CCF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F27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B47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CDD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D7C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10C9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ED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33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经费支出规范合理率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DD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51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1B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E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34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EA7D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496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6A5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6E24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85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D5C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F73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7C7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44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经费申请过程规范率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09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62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6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C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67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1F52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0DD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D25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A1A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967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F71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A5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7C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EE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是否产生可持续影响强化用水节水意识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83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3DF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6F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产生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7B0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28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77E4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76F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CC4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5153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531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DA2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765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34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BB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是否产生生态效益加强资源保护利用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A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5CB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49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8B0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BC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6680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BEC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4B5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72C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1A1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783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64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07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C6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是否产生社会效益提高单位知名度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F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D47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86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C10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5A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CEF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4FA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312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AF7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135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D2F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68E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BB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59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提高工作效率提升经济效益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E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69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E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199.34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62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66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49B5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A41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A90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242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D1C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32A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24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11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87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58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31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B5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F5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7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0115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6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EE63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8505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C2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4,230.24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FC29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D248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1201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1786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4B9D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5F24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C06D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3E4D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37F4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F4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3CE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3E1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61D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F5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861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9F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C04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13F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FA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505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6C8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8E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B4F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64B8166">
      <w:pPr>
        <w:pStyle w:val="3"/>
        <w:spacing w:line="244" w:lineRule="auto"/>
      </w:pPr>
    </w:p>
    <w:p w14:paraId="3ADC9EC3">
      <w:pPr>
        <w:pStyle w:val="3"/>
        <w:spacing w:line="245" w:lineRule="auto"/>
      </w:pPr>
    </w:p>
    <w:p w14:paraId="1E63717C">
      <w:pPr>
        <w:pStyle w:val="3"/>
        <w:spacing w:line="245" w:lineRule="auto"/>
      </w:pPr>
    </w:p>
    <w:p w14:paraId="1E867CE5">
      <w:pPr>
        <w:pStyle w:val="3"/>
        <w:spacing w:line="245" w:lineRule="auto"/>
      </w:pPr>
    </w:p>
    <w:p w14:paraId="6706ED1B">
      <w:pPr>
        <w:pStyle w:val="3"/>
        <w:spacing w:line="245" w:lineRule="auto"/>
      </w:pPr>
    </w:p>
    <w:p w14:paraId="7D562C2C">
      <w:pPr>
        <w:pStyle w:val="3"/>
        <w:spacing w:line="245" w:lineRule="auto"/>
      </w:pPr>
    </w:p>
    <w:p w14:paraId="2B25248F">
      <w:pPr>
        <w:pStyle w:val="3"/>
        <w:spacing w:line="245" w:lineRule="auto"/>
      </w:pPr>
    </w:p>
    <w:p w14:paraId="1BA53755">
      <w:pPr>
        <w:pStyle w:val="3"/>
        <w:spacing w:line="245" w:lineRule="auto"/>
      </w:pPr>
    </w:p>
    <w:p w14:paraId="3153B833">
      <w:pPr>
        <w:pStyle w:val="3"/>
        <w:spacing w:line="245" w:lineRule="auto"/>
      </w:pPr>
    </w:p>
    <w:p w14:paraId="53D75E38">
      <w:pPr>
        <w:pStyle w:val="3"/>
        <w:spacing w:line="245" w:lineRule="auto"/>
      </w:pPr>
    </w:p>
    <w:p w14:paraId="0963C6CD">
      <w:pPr>
        <w:pStyle w:val="3"/>
        <w:spacing w:line="245" w:lineRule="auto"/>
      </w:pPr>
    </w:p>
    <w:p w14:paraId="2B893A3D">
      <w:pPr>
        <w:pStyle w:val="3"/>
        <w:spacing w:line="245" w:lineRule="auto"/>
      </w:pPr>
    </w:p>
    <w:p w14:paraId="180F5414">
      <w:pPr>
        <w:pStyle w:val="3"/>
        <w:spacing w:line="245" w:lineRule="auto"/>
      </w:pPr>
    </w:p>
    <w:p w14:paraId="354B5716">
      <w:pPr>
        <w:pStyle w:val="3"/>
        <w:spacing w:line="245" w:lineRule="auto"/>
      </w:pPr>
    </w:p>
    <w:p w14:paraId="4E97EF4F">
      <w:pPr>
        <w:pStyle w:val="3"/>
        <w:spacing w:line="245" w:lineRule="auto"/>
      </w:pPr>
    </w:p>
    <w:p w14:paraId="05C21097">
      <w:pPr>
        <w:pStyle w:val="3"/>
        <w:spacing w:line="245" w:lineRule="auto"/>
      </w:pPr>
    </w:p>
    <w:p w14:paraId="54C14E34">
      <w:pPr>
        <w:pStyle w:val="3"/>
        <w:spacing w:line="245" w:lineRule="auto"/>
      </w:pPr>
    </w:p>
    <w:p w14:paraId="4D042BB1">
      <w:pPr>
        <w:pStyle w:val="3"/>
        <w:spacing w:line="245" w:lineRule="auto"/>
      </w:pPr>
    </w:p>
    <w:p w14:paraId="72662CAA">
      <w:pPr>
        <w:pStyle w:val="3"/>
        <w:spacing w:line="245" w:lineRule="auto"/>
      </w:pPr>
    </w:p>
    <w:p w14:paraId="0CC9BD35">
      <w:pPr>
        <w:pStyle w:val="3"/>
        <w:spacing w:line="245" w:lineRule="auto"/>
      </w:pPr>
    </w:p>
    <w:p w14:paraId="3D004C82">
      <w:pPr>
        <w:pStyle w:val="3"/>
        <w:spacing w:line="245" w:lineRule="auto"/>
      </w:pPr>
    </w:p>
    <w:p w14:paraId="1180712F">
      <w:pPr>
        <w:pStyle w:val="3"/>
        <w:spacing w:line="245" w:lineRule="auto"/>
      </w:pPr>
    </w:p>
    <w:p w14:paraId="093ECD4D">
      <w:pPr>
        <w:pStyle w:val="3"/>
        <w:spacing w:line="245" w:lineRule="auto"/>
      </w:pPr>
    </w:p>
    <w:p w14:paraId="20B6CBAD">
      <w:pPr>
        <w:pStyle w:val="3"/>
        <w:spacing w:line="245" w:lineRule="auto"/>
      </w:pPr>
    </w:p>
    <w:p w14:paraId="3B988160">
      <w:pPr>
        <w:pStyle w:val="3"/>
        <w:spacing w:line="245" w:lineRule="auto"/>
      </w:pPr>
    </w:p>
    <w:p w14:paraId="39D39105">
      <w:pPr>
        <w:pStyle w:val="3"/>
        <w:spacing w:line="245" w:lineRule="auto"/>
      </w:pPr>
    </w:p>
    <w:p w14:paraId="72BD44DA">
      <w:pPr>
        <w:spacing w:before="78" w:line="221" w:lineRule="auto"/>
        <w:ind w:left="77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公开</w:t>
      </w:r>
      <w:r>
        <w:rPr>
          <w:rFonts w:ascii="宋体" w:hAnsi="宋体" w:eastAsia="宋体" w:cs="宋体"/>
          <w:spacing w:val="-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12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表</w:t>
      </w:r>
    </w:p>
    <w:tbl>
      <w:tblPr>
        <w:tblStyle w:val="6"/>
        <w:tblW w:w="14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879"/>
        <w:gridCol w:w="1350"/>
        <w:gridCol w:w="1166"/>
        <w:gridCol w:w="983"/>
        <w:gridCol w:w="620"/>
        <w:gridCol w:w="897"/>
        <w:gridCol w:w="933"/>
        <w:gridCol w:w="720"/>
        <w:gridCol w:w="890"/>
        <w:gridCol w:w="544"/>
        <w:gridCol w:w="544"/>
        <w:gridCol w:w="544"/>
        <w:gridCol w:w="544"/>
        <w:gridCol w:w="544"/>
        <w:gridCol w:w="545"/>
        <w:gridCol w:w="545"/>
        <w:gridCol w:w="616"/>
      </w:tblGrid>
      <w:tr w14:paraId="03BAE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6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9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政府采购预算表</w:t>
            </w:r>
          </w:p>
        </w:tc>
      </w:tr>
      <w:tr w14:paraId="654E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D44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081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AAC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6D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D1F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4B6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C8F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958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9DD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A01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357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DF7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342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661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B59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B22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98F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87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 w14:paraId="4068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3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部门（单位）代码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A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部门（单位）名称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0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2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B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采购品目</w:t>
            </w:r>
          </w:p>
        </w:tc>
        <w:tc>
          <w:tcPr>
            <w:tcW w:w="2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C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申报情况</w:t>
            </w:r>
          </w:p>
        </w:tc>
        <w:tc>
          <w:tcPr>
            <w:tcW w:w="60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A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资金性质</w:t>
            </w:r>
          </w:p>
        </w:tc>
      </w:tr>
      <w:tr w14:paraId="5577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929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932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C2D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244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9E3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2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申请数量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5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8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金额(元)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E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4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5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A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D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3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C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F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附属单位上缴收入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3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其他收入</w:t>
            </w:r>
          </w:p>
        </w:tc>
      </w:tr>
      <w:tr w14:paraId="01EC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E0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5D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85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D9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3D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39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5F0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D2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43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7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2.44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A23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15D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17C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DAC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37A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04F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932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563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A4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4B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4C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FE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D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7F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 黑白打印机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B4B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8D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BC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AB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BE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C0E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4A4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4BA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486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DC4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62B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FD7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FC5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59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0D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55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D5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D4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74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便携式计算机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20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E8F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9C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1A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65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632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4F3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B7B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AE1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C13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7A8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FFB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AA9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72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3E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C9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46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A5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16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钢木床类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40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96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3A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3F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B9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BBB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CD8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4B4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25B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606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F36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B78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75A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D3D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A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2C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B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06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3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茶水柜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D65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B6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A8B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D6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2C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B1F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D1A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274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A97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A8A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DC2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3E6D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FA1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56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EB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F9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11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D6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D2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办公椅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1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09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A9E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F0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1A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553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FD8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800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1C1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C67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586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A44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8FF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92F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4A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02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82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53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D6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其他椅凳类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7E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1B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E5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47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A5E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618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908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808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291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BA6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0F6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EB0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168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620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B4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30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D4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C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FC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 黑白打印机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6F5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70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77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F0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C3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15F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123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36A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118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D28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EC9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B4A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343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C8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52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65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F0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8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78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办公桌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9AF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850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9F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E71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14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BA7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B11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944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1C7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570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3B2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5E3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477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F76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F4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53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A9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FA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C0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办公桌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D6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CC5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56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D3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C99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96B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7D6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125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0C9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1D7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D16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264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A6C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8E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13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5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D7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7E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1A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其他车辆维修和保养服务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E1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27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FB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66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62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A97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199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58D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B41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BDA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C25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848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D08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FE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DE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DB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F4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D4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3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复印纸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53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8C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D1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D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CEB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F95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6EC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B68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BA6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07D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88B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C40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D04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87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DE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9A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34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BB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09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文件柜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3B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63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16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A68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95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5EE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18B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3C0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407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591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E0E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FDB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761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38A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CE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3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21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B0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06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其他印刷服务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D5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F25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63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61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9B4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5E9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8CC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51F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F60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586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958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8B0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72B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E56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7E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D3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60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12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BF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 彩色打印机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0C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8A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EE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2B2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A6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92C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430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156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4EE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730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A6B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ADF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004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5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97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47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B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BA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AC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其他维修和保养服务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F39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60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880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8F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FBE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4.95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7BA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C8D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DE0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F6E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946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A19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B92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406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D37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8F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B7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61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E4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E4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0F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77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1E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E1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4B6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5E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38E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0C4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830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D4F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C5B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629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103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ABD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C2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D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C8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4B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78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其他印刷服务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B5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26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BB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D8F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D95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EF3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27E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D02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A31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F37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A10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0D5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8AA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A4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E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50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EA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4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1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保密柜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26A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0A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7A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D3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0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6C4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F69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5C5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C5F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C65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4F8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965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E2B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81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74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85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77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C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69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其他保险服务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3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BD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0F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0A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BB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BA9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9CA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A1D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DAB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AC3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805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A40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EE2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0DC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B5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B2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96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150800267023100010008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41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乌兰布和分中心专项业务费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74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车辆加油、添加燃料服务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8A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56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D0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B7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03F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0F2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052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961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D5D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A61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381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403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D05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D74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B2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B8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24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B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79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A3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2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C6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9B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3B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4B3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6A0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502E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467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1C2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933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4A0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5D9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9A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6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2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DA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E6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DB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其他保险服务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9F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C5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7F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4D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2F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721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6A0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788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34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66F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6DE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405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0F3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3DA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1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FF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EF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150800267022100010314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61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AA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办公椅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BE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C1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01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04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4A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2E0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483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8A9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64A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F23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711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FED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605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77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9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702008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4B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DD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150800267022100010319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8D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车辆公务费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24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车辆加油、添加燃料服务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63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1B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8F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14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6.59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75B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6.59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F14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DEE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F7E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F7C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864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92B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3E2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E31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0A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1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A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04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C9EDF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59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515020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C2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B9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51.50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6ED02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9B1C9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C0F72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A6827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F305F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A4D71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B21B4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5A37F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D944605">
      <w:pPr>
        <w:pStyle w:val="3"/>
      </w:pPr>
    </w:p>
    <w:sectPr>
      <w:headerReference r:id="rId17" w:type="default"/>
      <w:footerReference r:id="rId18" w:type="default"/>
      <w:pgSz w:w="16839" w:h="11906" w:orient="landscape"/>
      <w:pgMar w:top="1525" w:right="400" w:bottom="1526" w:left="1472" w:header="0" w:footer="109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AF932FD-F559-4A1B-8CF9-EC03295C4C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98C913F-5FBE-42B9-80E8-CD4B47511C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BB069EE-00E7-443B-A1BA-F94FC3B0982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A52CEB-CCC9-4518-9C10-496BF611A8C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5877D4DC-84AC-4CF0-AD02-156398BD5AF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6B6F89D-8252-4D8F-8B95-658933ADB69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66E32AD-C379-43EB-B492-691B942029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19B719E3-0E78-4D85-91C7-E6BE4811D8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2FC35">
    <w:pPr>
      <w:tabs>
        <w:tab w:val="left" w:pos="4320"/>
      </w:tabs>
      <w:spacing w:line="363" w:lineRule="exact"/>
      <w:ind w:left="4123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04E43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B04E43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621F5">
    <w:pPr>
      <w:spacing w:line="360" w:lineRule="exact"/>
      <w:ind w:left="6127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F6BC9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F6BC9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EE415">
    <w:pPr>
      <w:spacing w:line="363" w:lineRule="exact"/>
      <w:ind w:left="3831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60C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360C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BA020">
    <w:pPr>
      <w:spacing w:line="363" w:lineRule="exact"/>
      <w:ind w:left="4111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9FB5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C9FB5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87EF3">
    <w:pPr>
      <w:spacing w:line="360" w:lineRule="exact"/>
      <w:ind w:left="4238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F77E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F77E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29795">
    <w:pPr>
      <w:spacing w:line="363" w:lineRule="exact"/>
      <w:ind w:left="4125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7C5C4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C5C4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099EC">
    <w:pPr>
      <w:spacing w:line="360" w:lineRule="exact"/>
      <w:ind w:left="4117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0ABC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0ABC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C8564">
    <w:pPr>
      <w:spacing w:line="360" w:lineRule="exact"/>
      <w:ind w:left="4117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DDCB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DDCB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7F06D">
    <w:pPr>
      <w:spacing w:line="363" w:lineRule="exact"/>
      <w:ind w:left="4022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D67FB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D67FB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6F915">
    <w:pPr>
      <w:spacing w:line="360" w:lineRule="exact"/>
      <w:ind w:left="5622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4136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94136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9F8CD">
    <w:pPr>
      <w:spacing w:line="360" w:lineRule="exact"/>
      <w:ind w:left="6003"/>
      <w:rPr>
        <w:rFonts w:ascii="等线" w:hAnsi="等线" w:eastAsia="等线" w:cs="等线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7AE0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7AE0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40973">
    <w:pPr>
      <w:spacing w:before="65" w:line="217" w:lineRule="auto"/>
      <w:ind w:left="147"/>
      <w:rPr>
        <w:rFonts w:ascii="仿宋" w:hAnsi="仿宋" w:eastAsia="仿宋" w:cs="仿宋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9D8F8">
    <w:pPr>
      <w:pStyle w:val="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A550D">
    <w:pPr>
      <w:pStyle w:val="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59BF6"/>
    <w:multiLevelType w:val="singleLevel"/>
    <w:tmpl w:val="EA759BF6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2A33C904"/>
    <w:multiLevelType w:val="singleLevel"/>
    <w:tmpl w:val="2A33C904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341E722D"/>
    <w:multiLevelType w:val="singleLevel"/>
    <w:tmpl w:val="341E722D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8E1F88"/>
    <w:rsid w:val="2570016D"/>
    <w:rsid w:val="3752730E"/>
    <w:rsid w:val="3D04130E"/>
    <w:rsid w:val="4A3E3CB4"/>
    <w:rsid w:val="4AD9610B"/>
    <w:rsid w:val="4C7D4A48"/>
    <w:rsid w:val="50493AF3"/>
    <w:rsid w:val="5D83481E"/>
    <w:rsid w:val="62387FE7"/>
    <w:rsid w:val="624F4CCE"/>
    <w:rsid w:val="674E46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keepNext/>
      <w:keepLines/>
      <w:adjustRightInd w:val="0"/>
      <w:snapToGrid w:val="0"/>
      <w:spacing w:before="260" w:after="260" w:line="416" w:lineRule="auto"/>
      <w:ind w:firstLine="600" w:firstLineChars="200"/>
      <w:outlineLvl w:val="1"/>
    </w:pPr>
    <w:rPr>
      <w:rFonts w:ascii="Arial" w:hAnsi="Arial" w:eastAsia="Symbo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chart" Target="charts/chart2.xml"/><Relationship Id="rId20" Type="http://schemas.openxmlformats.org/officeDocument/2006/relationships/chart" Target="charts/chart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1.xml"/><Relationship Id="rId17" Type="http://schemas.openxmlformats.org/officeDocument/2006/relationships/header" Target="header3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header" Target="header2.xml"/><Relationship Id="rId13" Type="http://schemas.openxmlformats.org/officeDocument/2006/relationships/footer" Target="footer8.xml"/><Relationship Id="rId12" Type="http://schemas.openxmlformats.org/officeDocument/2006/relationships/header" Target="header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收入预算情况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本年一般公共预算收入</c:v>
                </c:pt>
                <c:pt idx="1">
                  <c:v>本年政府性基金预算收入</c:v>
                </c:pt>
                <c:pt idx="2">
                  <c:v>本年国有资本经营预算收入</c:v>
                </c:pt>
                <c:pt idx="3">
                  <c:v>本年财政专户管理资金</c:v>
                </c:pt>
                <c:pt idx="4">
                  <c:v>本年事业收入</c:v>
                </c:pt>
                <c:pt idx="5">
                  <c:v>本年事业单位经营收入</c:v>
                </c:pt>
                <c:pt idx="6">
                  <c:v>本年上级补助收入 </c:v>
                </c:pt>
                <c:pt idx="7">
                  <c:v>本年附属单位上缴收入</c:v>
                </c:pt>
                <c:pt idx="8">
                  <c:v>本年其他收入</c:v>
                </c:pt>
                <c:pt idx="9">
                  <c:v>上年结转结余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4230.24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bfa47f1-9df0-48d5-bb3b-2a92d2531ca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支出预算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基本支出</c:v>
                </c:pt>
                <c:pt idx="1">
                  <c:v>项目支出</c:v>
                </c:pt>
                <c:pt idx="2">
                  <c:v>事业单位经营支出</c:v>
                </c:pt>
                <c:pt idx="3">
                  <c:v>上缴上级支出</c:v>
                </c:pt>
                <c:pt idx="4">
                  <c:v>对附属单位补助支出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4059.24</c:v>
                </c:pt>
                <c:pt idx="1">
                  <c:v>171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a9c328a-3776-41bd-ba39-2d0694d0ef7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45</Pages>
  <Words>7605</Words>
  <Characters>8367</Characters>
  <TotalTime>13</TotalTime>
  <ScaleCrop>false</ScaleCrop>
  <LinksUpToDate>false</LinksUpToDate>
  <CharactersWithSpaces>9524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2023-02-02T15:02:00Z</dcterms:created>
  <dc:creator>Richard Meng</dc:creator>
  <cp:lastModifiedBy>WPS_1741918979</cp:lastModifiedBy>
  <dcterms:modified xsi:type="dcterms:W3CDTF">2026-02-04T08:34:22Z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2026-01-27T11:00:19Z</vt:filetime>
  </property>
  <property fmtid="{D5CDD505-2E9C-101B-9397-08002B2CF9AE}" pid="4" name="KSOTemplateDocerSaveRecord">
    <vt:lpwstr>eyJoZGlkIjoiMThjNzc4ZjUwOWVlZmMwOGEyMzUwYTRlZTI0NTJjMGYiLCJ1c2VySWQiOiIxNjg1ODQ2NjMxIn0=</vt:lpwstr>
  </property>
  <property fmtid="{D5CDD505-2E9C-101B-9397-08002B2CF9AE}" pid="5" name="KSOProductBuildVer">
    <vt:lpwstr>2052-12.1.0.24034</vt:lpwstr>
  </property>
  <property fmtid="{D5CDD505-2E9C-101B-9397-08002B2CF9AE}" pid="6" name="ICV">
    <vt:lpwstr>9A127FFC60014FB493398B8F3A42B9CE_12</vt:lpwstr>
  </property>
</Properties>
</file>